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011" w14:textId="77777777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F164D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RENATA NOWAK</w:t>
      </w:r>
      <w:r w:rsidRPr="00F164DC">
        <w:rPr>
          <w:rFonts w:ascii="Helvetica" w:eastAsia="Times New Roman" w:hAnsi="Helvetica" w:cs="Helvetica"/>
          <w:b/>
          <w:bCs/>
          <w:noProof/>
          <w:color w:val="EA9629"/>
          <w:sz w:val="24"/>
          <w:szCs w:val="24"/>
          <w:lang w:eastAsia="pl-PL"/>
        </w:rPr>
        <w:drawing>
          <wp:inline distT="0" distB="0" distL="0" distR="0" wp14:anchorId="4FCEEA0F" wp14:editId="4FF623AE">
            <wp:extent cx="1847850" cy="2857500"/>
            <wp:effectExtent l="0" t="0" r="0" b="0"/>
            <wp:docPr id="2" name="Obraz 2" descr="https://solanka.itl.pl/szkola/wp-content/uploads/2017/11/nowak-194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nowak-194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E987" w14:textId="052D09CF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F164DC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Jestem egzaminatorem z języka łacińskiego. Ukończyłam studia magisterskie na Uniwersytecie Wrocławskim, na kierunku: Filologia, w zakresie filologii klasycznej i kultury antycznej. Od ponad dziesięciu lat pracuję w liceach, ucząc młodzież języka łacińskiego. Jestem także asystentem dydaktycznym Centrum Języków Obcych na Uniwersytecie Rzeszowskim. Zapraszam do kontaktu pod adresem: </w:t>
      </w:r>
      <w:hyperlink r:id="rId7" w:history="1">
        <w:r w:rsidR="00716469" w:rsidRPr="00A52B55">
          <w:rPr>
            <w:rStyle w:val="Hipercze"/>
            <w:rFonts w:ascii="Helvetica" w:eastAsia="Times New Roman" w:hAnsi="Helvetica" w:cs="Helvetica"/>
            <w:b/>
            <w:bCs/>
            <w:sz w:val="24"/>
            <w:szCs w:val="24"/>
            <w:lang w:eastAsia="pl-PL"/>
          </w:rPr>
          <w:t>rnowak</w:t>
        </w:r>
      </w:hyperlink>
      <w:r w:rsidR="00716469">
        <w:rPr>
          <w:rStyle w:val="Hipercze"/>
          <w:rFonts w:ascii="Helvetica" w:eastAsia="Times New Roman" w:hAnsi="Helvetica" w:cs="Helvetica"/>
          <w:b/>
          <w:bCs/>
          <w:sz w:val="24"/>
          <w:szCs w:val="24"/>
          <w:lang w:eastAsia="pl-PL"/>
        </w:rPr>
        <w:t>@ur.edu.pl</w:t>
      </w:r>
    </w:p>
    <w:p w14:paraId="2C50605C" w14:textId="5D39EFBA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</w:p>
    <w:p w14:paraId="5E956167" w14:textId="2ECE8A0F" w:rsidR="00990D61" w:rsidRDefault="00A06683" w:rsidP="00990D61">
      <w:pPr>
        <w:pStyle w:val="NormalnyWeb"/>
        <w:shd w:val="clear" w:color="auto" w:fill="FFFFFF"/>
        <w:spacing w:before="102" w:beforeAutospacing="0" w:after="102"/>
        <w:ind w:left="181" w:right="-227"/>
      </w:pPr>
      <w:r>
        <w:rPr>
          <w:rFonts w:ascii="Arial" w:hAnsi="Arial" w:cs="Arial"/>
          <w:b/>
          <w:bCs/>
          <w:color w:val="333333"/>
          <w:sz w:val="32"/>
          <w:szCs w:val="32"/>
        </w:rPr>
        <w:t>Zakres części podstawy programowej- j</w:t>
      </w:r>
      <w:r w:rsidR="00990D61">
        <w:rPr>
          <w:rFonts w:ascii="Arial" w:hAnsi="Arial" w:cs="Arial"/>
          <w:b/>
          <w:bCs/>
          <w:color w:val="333333"/>
          <w:sz w:val="32"/>
          <w:szCs w:val="32"/>
        </w:rPr>
        <w:t xml:space="preserve">ęzyk łaciński i kultura antyczna </w:t>
      </w:r>
      <w:r w:rsidR="00990D61">
        <w:rPr>
          <w:rFonts w:ascii="Arial" w:hAnsi="Arial" w:cs="Arial"/>
          <w:color w:val="333333"/>
          <w:sz w:val="32"/>
          <w:szCs w:val="32"/>
        </w:rPr>
        <w:t>(</w:t>
      </w:r>
      <w:r w:rsidR="00990D61">
        <w:rPr>
          <w:rFonts w:ascii="Arial" w:hAnsi="Arial" w:cs="Arial"/>
          <w:color w:val="000000"/>
        </w:rPr>
        <w:t>ZAKRES ROZSZERZONY)</w:t>
      </w:r>
    </w:p>
    <w:p w14:paraId="4C581CF9" w14:textId="77777777" w:rsidR="00833AB4" w:rsidRDefault="00990D61" w:rsidP="00833AB4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klasy pierwszej</w:t>
      </w:r>
    </w:p>
    <w:p w14:paraId="6DA624E7" w14:textId="744B12E8" w:rsidR="00833AB4" w:rsidRPr="00833AB4" w:rsidRDefault="00833AB4" w:rsidP="00833AB4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RENATA NOWAK – </w:t>
      </w:r>
      <w:r w:rsidR="004B7B58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rnowak</w:t>
      </w:r>
      <w:r w:rsidR="00716469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@ur.edu.pl</w:t>
      </w:r>
    </w:p>
    <w:p w14:paraId="23C6A5F4" w14:textId="19E2AD1A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181" w:right="-227"/>
      </w:pPr>
    </w:p>
    <w:p w14:paraId="0D06D781" w14:textId="77777777" w:rsidR="0083694F" w:rsidRDefault="0083694F" w:rsidP="00990D61">
      <w:pPr>
        <w:pStyle w:val="NormalnyWeb"/>
        <w:shd w:val="clear" w:color="auto" w:fill="FFFFFF"/>
        <w:spacing w:before="102" w:beforeAutospacing="0" w:after="102"/>
        <w:ind w:left="181" w:right="-227"/>
        <w:rPr>
          <w:rFonts w:ascii="Arial" w:hAnsi="Arial" w:cs="Arial"/>
          <w:b/>
          <w:bCs/>
          <w:color w:val="000000"/>
        </w:rPr>
      </w:pPr>
    </w:p>
    <w:p w14:paraId="16D94CF2" w14:textId="45313D3B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181" w:right="-227"/>
      </w:pPr>
      <w:r>
        <w:rPr>
          <w:rFonts w:ascii="Arial" w:hAnsi="Arial" w:cs="Arial"/>
          <w:b/>
          <w:bCs/>
          <w:color w:val="000000"/>
        </w:rPr>
        <w:t>KOMPETENCJEJĘZYKOWE:</w:t>
      </w:r>
    </w:p>
    <w:p w14:paraId="2969A872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zna i rozpoznaje następujące formy morfologiczne z zakresu gramatyki języka łacińskiego:</w:t>
      </w:r>
      <w:r>
        <w:rPr>
          <w:rFonts w:ascii="Arial" w:hAnsi="Arial" w:cs="Arial"/>
          <w:color w:val="000000"/>
        </w:rPr>
        <w:br/>
      </w:r>
    </w:p>
    <w:p w14:paraId="556FF0A9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rzeczowników regularnych deklinacji I – III,</w:t>
      </w:r>
    </w:p>
    <w:p w14:paraId="427055AA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następujących rzeczowników nieregularnych: deus, vis,</w:t>
      </w:r>
    </w:p>
    <w:p w14:paraId="6A934587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przymiotników deklinacji I – III,</w:t>
      </w:r>
    </w:p>
    <w:p w14:paraId="2EDF4607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i zasady użycia zaimka zaimków osobowych i dzierżawczych,</w:t>
      </w:r>
    </w:p>
    <w:p w14:paraId="468E494B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formy strony czynnej czasowników regularnych koniugacji I – IV w trybie orzekającym (indicativus) w następujących czasach: </w:t>
      </w:r>
      <w:proofErr w:type="spellStart"/>
      <w:r>
        <w:rPr>
          <w:rFonts w:ascii="Arial" w:hAnsi="Arial" w:cs="Arial"/>
          <w:color w:val="000000"/>
        </w:rPr>
        <w:t>praesens</w:t>
      </w:r>
      <w:proofErr w:type="spellEnd"/>
      <w:r>
        <w:rPr>
          <w:rFonts w:ascii="Arial" w:hAnsi="Arial" w:cs="Arial"/>
          <w:color w:val="000000"/>
        </w:rPr>
        <w:t xml:space="preserve">, imperfectum, futurum I oraz formy trybu rozkazującego w czasie teraźniejszym w stronie czynnej (imperativus </w:t>
      </w:r>
      <w:proofErr w:type="spellStart"/>
      <w:r>
        <w:rPr>
          <w:rFonts w:ascii="Arial" w:hAnsi="Arial" w:cs="Arial"/>
          <w:color w:val="000000"/>
        </w:rPr>
        <w:t>praesentis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</w:t>
      </w:r>
      <w:proofErr w:type="spellEnd"/>
      <w:r>
        <w:rPr>
          <w:rFonts w:ascii="Arial" w:hAnsi="Arial" w:cs="Arial"/>
          <w:color w:val="000000"/>
        </w:rPr>
        <w:t>),</w:t>
      </w:r>
    </w:p>
    <w:p w14:paraId="5B9E986A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czasowników nieregularnych:</w:t>
      </w:r>
      <w:r>
        <w:rPr>
          <w:rFonts w:ascii="Arial" w:hAnsi="Arial" w:cs="Arial"/>
          <w:color w:val="000000"/>
        </w:rPr>
        <w:br/>
        <w:t xml:space="preserve">– </w:t>
      </w:r>
      <w:proofErr w:type="spellStart"/>
      <w:r>
        <w:rPr>
          <w:rFonts w:ascii="Arial" w:hAnsi="Arial" w:cs="Arial"/>
          <w:color w:val="000000"/>
        </w:rPr>
        <w:t>esse</w:t>
      </w:r>
      <w:proofErr w:type="spellEnd"/>
      <w:r>
        <w:rPr>
          <w:rFonts w:ascii="Arial" w:hAnsi="Arial" w:cs="Arial"/>
          <w:color w:val="000000"/>
        </w:rPr>
        <w:t xml:space="preserve"> i wybrane </w:t>
      </w:r>
      <w:proofErr w:type="spellStart"/>
      <w:r>
        <w:rPr>
          <w:rFonts w:ascii="Arial" w:hAnsi="Arial" w:cs="Arial"/>
          <w:color w:val="000000"/>
        </w:rPr>
        <w:t>composita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possum,prosum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adsum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absum</w:t>
      </w:r>
      <w:proofErr w:type="spellEnd"/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br/>
        <w:t xml:space="preserve">– </w:t>
      </w:r>
      <w:proofErr w:type="spellStart"/>
      <w:r>
        <w:rPr>
          <w:rFonts w:ascii="Arial" w:hAnsi="Arial" w:cs="Arial"/>
          <w:color w:val="000000"/>
        </w:rPr>
        <w:t>volo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nolo</w:t>
      </w:r>
      <w:proofErr w:type="spellEnd"/>
      <w:r>
        <w:rPr>
          <w:rFonts w:ascii="Arial" w:hAnsi="Arial" w:cs="Arial"/>
          <w:color w:val="000000"/>
        </w:rPr>
        <w:t>,</w:t>
      </w:r>
    </w:p>
    <w:p w14:paraId="6E49F000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zna i rozpoznaje następujące zjawiska składniowe z zakresu gramatyki języka łacińskiego:</w:t>
      </w:r>
      <w:r>
        <w:rPr>
          <w:rFonts w:ascii="Arial" w:hAnsi="Arial" w:cs="Arial"/>
          <w:color w:val="000000"/>
        </w:rPr>
        <w:br/>
      </w:r>
    </w:p>
    <w:p w14:paraId="25891382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szyk zdania łacińskiego,</w:t>
      </w:r>
    </w:p>
    <w:p w14:paraId="16BE1E19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strukturę składniową zdania w stronie czynnej,</w:t>
      </w:r>
    </w:p>
    <w:p w14:paraId="16955D95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 xml:space="preserve">następujące funkcje składniowe i semantyczne rzeczownika: (Nominativus jako orzecznik, Nominativus duplex, Dativus </w:t>
      </w:r>
      <w:proofErr w:type="spellStart"/>
      <w:r>
        <w:rPr>
          <w:rFonts w:ascii="Arial" w:hAnsi="Arial" w:cs="Arial"/>
          <w:color w:val="000000"/>
        </w:rPr>
        <w:t>possessivus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Acccusativus</w:t>
      </w:r>
      <w:proofErr w:type="spellEnd"/>
      <w:r>
        <w:rPr>
          <w:rFonts w:ascii="Arial" w:hAnsi="Arial" w:cs="Arial"/>
          <w:color w:val="000000"/>
        </w:rPr>
        <w:t xml:space="preserve"> duplex, </w:t>
      </w:r>
    </w:p>
    <w:p w14:paraId="7B33CEF4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 xml:space="preserve">następujące konstrukcje składniowe charakterystyczne dla łaciny: Accusativus cum </w:t>
      </w:r>
      <w:proofErr w:type="spellStart"/>
      <w:r>
        <w:rPr>
          <w:rFonts w:ascii="Arial" w:hAnsi="Arial" w:cs="Arial"/>
          <w:color w:val="000000"/>
        </w:rPr>
        <w:t>infinitivo</w:t>
      </w:r>
      <w:proofErr w:type="spellEnd"/>
      <w:r>
        <w:rPr>
          <w:rFonts w:ascii="Arial" w:hAnsi="Arial" w:cs="Arial"/>
          <w:color w:val="000000"/>
        </w:rPr>
        <w:t xml:space="preserve"> (ACI – tylko z użyciem bezokolicznika w czasie teraźniejszym – infinitivus </w:t>
      </w:r>
      <w:proofErr w:type="spellStart"/>
      <w:r>
        <w:rPr>
          <w:rFonts w:ascii="Arial" w:hAnsi="Arial" w:cs="Arial"/>
          <w:color w:val="000000"/>
        </w:rPr>
        <w:t>praesentis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bezprzyimkowe</w:t>
      </w:r>
      <w:proofErr w:type="spellEnd"/>
      <w:r>
        <w:rPr>
          <w:rFonts w:ascii="Arial" w:hAnsi="Arial" w:cs="Arial"/>
          <w:color w:val="000000"/>
        </w:rPr>
        <w:t xml:space="preserve"> użycie nazw miast,</w:t>
      </w:r>
    </w:p>
    <w:p w14:paraId="0D975ED4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Uczeń zna i rozpoznaje formy morfologiczne i strukturę składniową tłumaczonego tekstu;</w:t>
      </w:r>
    </w:p>
    <w:p w14:paraId="031DABFC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identyfikuje, z wykorzystaniem posiadanej wiedzy na temat gramatyki łacińskiej, formy podstawowe słów występujących w tłumaczonym tekście;</w:t>
      </w:r>
    </w:p>
    <w:p w14:paraId="245B822B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zna podstawowe techniki przekładu tekstu łacińskiego;</w:t>
      </w:r>
    </w:p>
    <w:p w14:paraId="659D7820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zna zasady tworzenia spójnego i zgodnego z polską normą językową przekładu z języka łacińskiego na język polski;</w:t>
      </w:r>
    </w:p>
    <w:p w14:paraId="65163F8F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potrafi korzystać ze słownika łacińsko-polskiego przy sporządzaniu przekładu,</w:t>
      </w:r>
    </w:p>
    <w:p w14:paraId="21914C49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potrafi w przypadku wyrazów wieloznacznych wybrać znaczenie odpowiednie dla kontekstu/tematyki tłumaczonego tekstu,</w:t>
      </w:r>
    </w:p>
    <w:p w14:paraId="5E283F3F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0"/>
        <w:ind w:right="-227"/>
      </w:pPr>
      <w:r>
        <w:rPr>
          <w:rFonts w:ascii="Arial" w:hAnsi="Arial" w:cs="Arial"/>
          <w:color w:val="000000"/>
        </w:rPr>
        <w:t>dokonuje poprawnego przekładu preparowanego tekstu łacińskiego (w zakresie poznanej w klasie I fleksji i składni).</w:t>
      </w:r>
    </w:p>
    <w:p w14:paraId="520C848F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  <w:rPr>
          <w:rFonts w:ascii="Arial" w:hAnsi="Arial" w:cs="Arial"/>
          <w:b/>
          <w:bCs/>
          <w:color w:val="000000"/>
        </w:rPr>
      </w:pPr>
    </w:p>
    <w:p w14:paraId="327365ED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  <w:rPr>
          <w:rFonts w:ascii="Arial" w:hAnsi="Arial" w:cs="Arial"/>
          <w:b/>
          <w:bCs/>
          <w:color w:val="000000"/>
        </w:rPr>
      </w:pPr>
    </w:p>
    <w:p w14:paraId="490F2C9A" w14:textId="45463BDD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</w:pPr>
      <w:r>
        <w:rPr>
          <w:rFonts w:ascii="Arial" w:hAnsi="Arial" w:cs="Arial"/>
          <w:b/>
          <w:bCs/>
          <w:color w:val="000000"/>
        </w:rPr>
        <w:t>KOMPETENCJE KULTUROWE:</w:t>
      </w:r>
    </w:p>
    <w:p w14:paraId="662EEC2E" w14:textId="3BF359CA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z zakresu mitologii greckiej i rzymskiej:</w:t>
      </w:r>
    </w:p>
    <w:p w14:paraId="01C85FFF" w14:textId="77777777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</w:pPr>
    </w:p>
    <w:p w14:paraId="3127918E" w14:textId="655B2A14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powstaniu świata,</w:t>
      </w:r>
    </w:p>
    <w:p w14:paraId="5607BD31" w14:textId="06E2FB5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bogach olimpijskich i pozostałych bóstwach panteonu greckiego,</w:t>
      </w:r>
    </w:p>
    <w:p w14:paraId="01F1DB05" w14:textId="06FAA7ED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głównych herosach – Prometeusz, Herakles, Tezeusz, Argonauci,</w:t>
      </w:r>
    </w:p>
    <w:p w14:paraId="366BF69B" w14:textId="423CD1DB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wojnie trojańskiej i powrocie bohaterów spod Troi,</w:t>
      </w:r>
    </w:p>
    <w:p w14:paraId="66E05D18" w14:textId="1692F03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mity </w:t>
      </w:r>
      <w:proofErr w:type="spellStart"/>
      <w:r>
        <w:rPr>
          <w:rFonts w:ascii="Arial" w:hAnsi="Arial" w:cs="Arial"/>
          <w:color w:val="000000"/>
        </w:rPr>
        <w:t>ajtiologiczne</w:t>
      </w:r>
      <w:proofErr w:type="spellEnd"/>
      <w:r>
        <w:rPr>
          <w:rFonts w:ascii="Arial" w:hAnsi="Arial" w:cs="Arial"/>
          <w:color w:val="000000"/>
        </w:rPr>
        <w:t>, wyjaśniające powstanie zjawisk i rzeczy,</w:t>
      </w:r>
    </w:p>
    <w:p w14:paraId="486048D2" w14:textId="54D1775C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związki mitologii greckiej z rzymską,</w:t>
      </w:r>
    </w:p>
    <w:p w14:paraId="30D677BB" w14:textId="71835CC3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wędrówce Eneasza,</w:t>
      </w:r>
    </w:p>
    <w:p w14:paraId="2EBC19CD" w14:textId="5C3999C3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powstaniu Rzymu.</w:t>
      </w:r>
    </w:p>
    <w:p w14:paraId="7D152EAB" w14:textId="7777777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</w:p>
    <w:p w14:paraId="193FB444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z zakresu historii starożytnej:</w:t>
      </w:r>
      <w:r>
        <w:rPr>
          <w:rFonts w:ascii="Arial" w:hAnsi="Arial" w:cs="Arial"/>
          <w:color w:val="000000"/>
        </w:rPr>
        <w:br/>
      </w:r>
    </w:p>
    <w:p w14:paraId="25705FC2" w14:textId="5657DC2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historia Grecji:</w:t>
      </w:r>
      <w:r>
        <w:rPr>
          <w:rFonts w:ascii="Arial" w:hAnsi="Arial" w:cs="Arial"/>
          <w:color w:val="000000"/>
        </w:rPr>
        <w:br/>
        <w:t>– wielka kolonizacja,</w:t>
      </w:r>
      <w:r>
        <w:rPr>
          <w:rFonts w:ascii="Arial" w:hAnsi="Arial" w:cs="Arial"/>
          <w:color w:val="000000"/>
        </w:rPr>
        <w:br/>
        <w:t>– idea państw-miast (</w:t>
      </w:r>
      <w:proofErr w:type="spellStart"/>
      <w:r>
        <w:rPr>
          <w:rFonts w:ascii="Arial" w:hAnsi="Arial" w:cs="Arial"/>
          <w:color w:val="000000"/>
        </w:rPr>
        <w:t>poleis</w:t>
      </w:r>
      <w:proofErr w:type="spellEnd"/>
      <w:r>
        <w:rPr>
          <w:rFonts w:ascii="Arial" w:hAnsi="Arial" w:cs="Arial"/>
          <w:color w:val="000000"/>
        </w:rPr>
        <w:t>: Ateny, Sparta, Teby, Korynt),</w:t>
      </w:r>
      <w:r>
        <w:rPr>
          <w:rFonts w:ascii="Arial" w:hAnsi="Arial" w:cs="Arial"/>
          <w:color w:val="000000"/>
        </w:rPr>
        <w:br/>
        <w:t>– formy ustrojowe w Grecji: demokracja ateńska, ustrój spartański,</w:t>
      </w:r>
      <w:r>
        <w:rPr>
          <w:rFonts w:ascii="Arial" w:hAnsi="Arial" w:cs="Arial"/>
          <w:color w:val="000000"/>
        </w:rPr>
        <w:br/>
        <w:t>– wojny perskie,</w:t>
      </w:r>
      <w:r>
        <w:rPr>
          <w:rFonts w:ascii="Arial" w:hAnsi="Arial" w:cs="Arial"/>
          <w:color w:val="000000"/>
        </w:rPr>
        <w:br/>
        <w:t>– wojna peloponeska,</w:t>
      </w:r>
      <w:r>
        <w:rPr>
          <w:rFonts w:ascii="Arial" w:hAnsi="Arial" w:cs="Arial"/>
          <w:color w:val="000000"/>
        </w:rPr>
        <w:br/>
        <w:t>– podboje Aleksandra Wielkiego i państwa hellenistyczne.</w:t>
      </w:r>
    </w:p>
    <w:p w14:paraId="63165ED5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posiada podstawową wiedzę o następujących kluczowych zjawiskach z zakresu historii literatury starożytnej:</w:t>
      </w:r>
      <w:r>
        <w:rPr>
          <w:rFonts w:ascii="Arial" w:hAnsi="Arial" w:cs="Arial"/>
          <w:color w:val="000000"/>
        </w:rPr>
        <w:br/>
      </w:r>
    </w:p>
    <w:p w14:paraId="6C40F00C" w14:textId="5485D555" w:rsid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literatura grecka:</w:t>
      </w:r>
      <w:r>
        <w:rPr>
          <w:rFonts w:ascii="Arial" w:hAnsi="Arial" w:cs="Arial"/>
          <w:color w:val="000000"/>
        </w:rPr>
        <w:br/>
        <w:t>– Homer, Iliada i Odyseja,</w:t>
      </w:r>
      <w:r>
        <w:rPr>
          <w:rFonts w:ascii="Arial" w:hAnsi="Arial" w:cs="Arial"/>
          <w:color w:val="000000"/>
        </w:rPr>
        <w:br/>
        <w:t xml:space="preserve">– liryka grecka (wybrane wiersze </w:t>
      </w:r>
      <w:proofErr w:type="spellStart"/>
      <w:r>
        <w:rPr>
          <w:rFonts w:ascii="Arial" w:hAnsi="Arial" w:cs="Arial"/>
          <w:color w:val="000000"/>
        </w:rPr>
        <w:t>Alkajosa</w:t>
      </w:r>
      <w:proofErr w:type="spellEnd"/>
      <w:r>
        <w:rPr>
          <w:rFonts w:ascii="Arial" w:hAnsi="Arial" w:cs="Arial"/>
          <w:color w:val="000000"/>
        </w:rPr>
        <w:t>, Safony i Anakreonta),</w:t>
      </w:r>
      <w:r>
        <w:rPr>
          <w:rFonts w:ascii="Arial" w:hAnsi="Arial" w:cs="Arial"/>
          <w:color w:val="000000"/>
        </w:rPr>
        <w:br/>
        <w:t xml:space="preserve">– tragedia: wybrane dzieła Ajschylosa (Prometeusz skowany, </w:t>
      </w:r>
      <w:proofErr w:type="spellStart"/>
      <w:r>
        <w:rPr>
          <w:rFonts w:ascii="Arial" w:hAnsi="Arial" w:cs="Arial"/>
          <w:color w:val="000000"/>
        </w:rPr>
        <w:t>Oresteja</w:t>
      </w:r>
      <w:proofErr w:type="spellEnd"/>
      <w:r>
        <w:rPr>
          <w:rFonts w:ascii="Arial" w:hAnsi="Arial" w:cs="Arial"/>
          <w:color w:val="000000"/>
        </w:rPr>
        <w:t>), Sofoklesa (Król Edyp, Antygona), i Eurypidesa (Medea),</w:t>
      </w:r>
      <w:r>
        <w:rPr>
          <w:rFonts w:ascii="Arial" w:hAnsi="Arial" w:cs="Arial"/>
          <w:color w:val="000000"/>
        </w:rPr>
        <w:br/>
        <w:t>– historiografia: Herodot, Dzieje i Tukidydes, Wojna peloponeska.</w:t>
      </w:r>
    </w:p>
    <w:p w14:paraId="3F493427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</w:p>
    <w:p w14:paraId="139DD579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i dziełach z obszaru filozofii starożytnej:</w:t>
      </w:r>
      <w:r>
        <w:rPr>
          <w:rFonts w:ascii="Arial" w:hAnsi="Arial" w:cs="Arial"/>
          <w:color w:val="000000"/>
        </w:rPr>
        <w:br/>
      </w:r>
    </w:p>
    <w:p w14:paraId="21F9D1DB" w14:textId="3D2D72E7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początki filozofii greckiej: Tales z Miletu, </w:t>
      </w:r>
      <w:proofErr w:type="spellStart"/>
      <w:r>
        <w:rPr>
          <w:rFonts w:ascii="Arial" w:hAnsi="Arial" w:cs="Arial"/>
          <w:color w:val="000000"/>
        </w:rPr>
        <w:t>Anaksymander</w:t>
      </w:r>
      <w:proofErr w:type="spellEnd"/>
      <w:r>
        <w:rPr>
          <w:rFonts w:ascii="Arial" w:hAnsi="Arial" w:cs="Arial"/>
          <w:color w:val="000000"/>
        </w:rPr>
        <w:t>, Anaksymenes, Demokryt, Heraklit, Pitagoras,</w:t>
      </w:r>
    </w:p>
    <w:p w14:paraId="07F493D5" w14:textId="64D7B5BC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Sokrates,</w:t>
      </w:r>
    </w:p>
    <w:p w14:paraId="4CD7FA9D" w14:textId="0AF4E335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Platon: Uczta, Obrona Sokratesa, Państwo,</w:t>
      </w:r>
    </w:p>
    <w:p w14:paraId="14B647A2" w14:textId="3978C3C8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Arystoteles.</w:t>
      </w:r>
      <w:r>
        <w:rPr>
          <w:rFonts w:ascii="Arial" w:hAnsi="Arial" w:cs="Arial"/>
          <w:color w:val="000000"/>
        </w:rPr>
        <w:br/>
      </w:r>
    </w:p>
    <w:p w14:paraId="2FE6C93A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posiada podstawową wiedzę o następujących kluczowych zjawiskach z zakresu życia publicznego i prywatnego w starożytnej Grecji i Rzymie:</w:t>
      </w:r>
      <w:r>
        <w:rPr>
          <w:rFonts w:ascii="Arial" w:hAnsi="Arial" w:cs="Arial"/>
          <w:color w:val="000000"/>
        </w:rPr>
        <w:br/>
      </w:r>
    </w:p>
    <w:p w14:paraId="43C27276" w14:textId="61FB0466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sport i widowiska w Grecji,</w:t>
      </w:r>
    </w:p>
    <w:p w14:paraId="15AE0225" w14:textId="5F356D13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wyrocznie: Delfy i ich rola, Sybilla,</w:t>
      </w:r>
    </w:p>
    <w:p w14:paraId="4F9500C9" w14:textId="5DDC1FE5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życie domowe i rodzinne w Grecji (dom; rodzina; dzieci i edukacja; imiona i nazwiska greckie; ubiór).</w:t>
      </w:r>
    </w:p>
    <w:p w14:paraId="224BF377" w14:textId="77777777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</w:pPr>
    </w:p>
    <w:p w14:paraId="705348EE" w14:textId="77777777" w:rsidR="00990D61" w:rsidRDefault="00990D61"/>
    <w:sectPr w:rsidR="0099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1BF"/>
    <w:multiLevelType w:val="multilevel"/>
    <w:tmpl w:val="221E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42B13"/>
    <w:multiLevelType w:val="multilevel"/>
    <w:tmpl w:val="8B4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438C3"/>
    <w:multiLevelType w:val="multilevel"/>
    <w:tmpl w:val="9E0C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36D8"/>
    <w:multiLevelType w:val="hybridMultilevel"/>
    <w:tmpl w:val="823A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A67"/>
    <w:multiLevelType w:val="multilevel"/>
    <w:tmpl w:val="3286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012B"/>
    <w:multiLevelType w:val="hybridMultilevel"/>
    <w:tmpl w:val="0E5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02BF"/>
    <w:multiLevelType w:val="multilevel"/>
    <w:tmpl w:val="2950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7111C"/>
    <w:multiLevelType w:val="multilevel"/>
    <w:tmpl w:val="2A26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9567F"/>
    <w:multiLevelType w:val="multilevel"/>
    <w:tmpl w:val="332EC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E47BE"/>
    <w:multiLevelType w:val="multilevel"/>
    <w:tmpl w:val="1F5E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94237">
    <w:abstractNumId w:val="4"/>
  </w:num>
  <w:num w:numId="2" w16cid:durableId="1667856166">
    <w:abstractNumId w:val="2"/>
  </w:num>
  <w:num w:numId="3" w16cid:durableId="1357535818">
    <w:abstractNumId w:val="9"/>
  </w:num>
  <w:num w:numId="4" w16cid:durableId="43409237">
    <w:abstractNumId w:val="1"/>
  </w:num>
  <w:num w:numId="5" w16cid:durableId="917255553">
    <w:abstractNumId w:val="0"/>
  </w:num>
  <w:num w:numId="6" w16cid:durableId="583102325">
    <w:abstractNumId w:val="6"/>
  </w:num>
  <w:num w:numId="7" w16cid:durableId="1466200646">
    <w:abstractNumId w:val="8"/>
  </w:num>
  <w:num w:numId="8" w16cid:durableId="1526364041">
    <w:abstractNumId w:val="7"/>
  </w:num>
  <w:num w:numId="9" w16cid:durableId="264311996">
    <w:abstractNumId w:val="3"/>
  </w:num>
  <w:num w:numId="10" w16cid:durableId="580335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61"/>
    <w:rsid w:val="00371347"/>
    <w:rsid w:val="004B7B58"/>
    <w:rsid w:val="006E700B"/>
    <w:rsid w:val="00716469"/>
    <w:rsid w:val="00833AB4"/>
    <w:rsid w:val="0083694F"/>
    <w:rsid w:val="00990D61"/>
    <w:rsid w:val="00A06683"/>
    <w:rsid w:val="00C148EB"/>
    <w:rsid w:val="00F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2AE"/>
  <w15:chartTrackingRefBased/>
  <w15:docId w15:val="{8180F88B-D7BD-4614-81E2-094350C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13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ow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17/11/nowa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</dc:creator>
  <cp:keywords/>
  <dc:description/>
  <cp:lastModifiedBy>warsztaty</cp:lastModifiedBy>
  <cp:revision>2</cp:revision>
  <dcterms:created xsi:type="dcterms:W3CDTF">2023-05-19T10:41:00Z</dcterms:created>
  <dcterms:modified xsi:type="dcterms:W3CDTF">2023-05-19T10:41:00Z</dcterms:modified>
</cp:coreProperties>
</file>