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0F4BE" w14:textId="349D4BCC" w:rsidR="00DB0DA2" w:rsidRDefault="21B69880" w:rsidP="40260F4F">
      <w:pPr>
        <w:pStyle w:val="NormalnyWeb"/>
        <w:shd w:val="clear" w:color="auto" w:fill="FFFFFF" w:themeFill="background1"/>
        <w:spacing w:before="0" w:beforeAutospacing="0" w:after="360" w:afterAutospacing="0"/>
        <w:jc w:val="center"/>
        <w:rPr>
          <w:b/>
          <w:bCs/>
        </w:rPr>
      </w:pPr>
      <w:r w:rsidRPr="40260F4F">
        <w:rPr>
          <w:b/>
          <w:bCs/>
        </w:rPr>
        <w:t xml:space="preserve">ZAKRES CZĘŚCI PODSTAWY PROGRAMOWEJ </w:t>
      </w:r>
      <w:r w:rsidR="5F5D1EBF" w:rsidRPr="40260F4F">
        <w:rPr>
          <w:b/>
          <w:bCs/>
        </w:rPr>
        <w:t>Z J</w:t>
      </w:r>
      <w:r w:rsidR="03100BDF" w:rsidRPr="40260F4F">
        <w:rPr>
          <w:b/>
          <w:bCs/>
        </w:rPr>
        <w:t>ĘZYKA ŁACIŃSKIEGO</w:t>
      </w:r>
      <w:r w:rsidRPr="40260F4F">
        <w:rPr>
          <w:b/>
          <w:bCs/>
        </w:rPr>
        <w:t xml:space="preserve"> </w:t>
      </w:r>
      <w:r w:rsidR="007D3AAB">
        <w:rPr>
          <w:b/>
          <w:bCs/>
        </w:rPr>
        <w:t>I </w:t>
      </w:r>
      <w:bookmarkStart w:id="0" w:name="_GoBack"/>
      <w:bookmarkEnd w:id="0"/>
      <w:r w:rsidR="02A4A4B9" w:rsidRPr="40260F4F">
        <w:rPr>
          <w:b/>
          <w:bCs/>
        </w:rPr>
        <w:t xml:space="preserve">KULTURY ANTYCZNEJ </w:t>
      </w:r>
      <w:r w:rsidR="1A62358F" w:rsidRPr="40260F4F">
        <w:rPr>
          <w:b/>
          <w:bCs/>
        </w:rPr>
        <w:t>NA</w:t>
      </w:r>
      <w:r w:rsidRPr="40260F4F">
        <w:rPr>
          <w:b/>
          <w:bCs/>
        </w:rPr>
        <w:t xml:space="preserve"> POZIOM</w:t>
      </w:r>
      <w:r w:rsidR="409F1A36" w:rsidRPr="40260F4F">
        <w:rPr>
          <w:b/>
          <w:bCs/>
        </w:rPr>
        <w:t>IE</w:t>
      </w:r>
      <w:r w:rsidRPr="40260F4F">
        <w:rPr>
          <w:b/>
          <w:bCs/>
        </w:rPr>
        <w:t xml:space="preserve"> PODSTAWOWY</w:t>
      </w:r>
      <w:r w:rsidR="14576CF1" w:rsidRPr="40260F4F">
        <w:rPr>
          <w:b/>
          <w:bCs/>
        </w:rPr>
        <w:t>M KL. I</w:t>
      </w:r>
      <w:r w:rsidR="5E666C51" w:rsidRPr="40260F4F">
        <w:rPr>
          <w:b/>
          <w:bCs/>
        </w:rPr>
        <w:t xml:space="preserve"> LO</w:t>
      </w:r>
    </w:p>
    <w:p w14:paraId="030894C8" w14:textId="6DEDD56D" w:rsidR="00DB0DA2" w:rsidRDefault="518B4B45" w:rsidP="40260F4F">
      <w:pPr>
        <w:pStyle w:val="NormalnyWeb"/>
        <w:shd w:val="clear" w:color="auto" w:fill="FFFFFF" w:themeFill="background1"/>
        <w:spacing w:before="0" w:beforeAutospacing="0" w:after="360" w:afterAutospacing="0"/>
        <w:rPr>
          <w:color w:val="282E3E"/>
        </w:rPr>
      </w:pPr>
      <w:r>
        <w:rPr>
          <w:noProof/>
        </w:rPr>
        <w:drawing>
          <wp:inline distT="0" distB="0" distL="0" distR="0" wp14:anchorId="24F1479E" wp14:editId="536CAB03">
            <wp:extent cx="2009438" cy="2430229"/>
            <wp:effectExtent l="0" t="0" r="0" b="0"/>
            <wp:docPr id="172474624" name="Obraz 17247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5" t="14073" r="37574" b="898"/>
                    <a:stretch>
                      <a:fillRect/>
                    </a:stretch>
                  </pic:blipFill>
                  <pic:spPr>
                    <a:xfrm>
                      <a:off x="0" y="0"/>
                      <a:ext cx="2009438" cy="24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3FF2" w14:textId="29D4C074" w:rsidR="1A568193" w:rsidRDefault="1A568193" w:rsidP="40260F4F">
      <w:pPr>
        <w:pStyle w:val="NormalnyWeb"/>
        <w:shd w:val="clear" w:color="auto" w:fill="FFFFFF" w:themeFill="background1"/>
        <w:spacing w:before="0" w:beforeAutospacing="0" w:after="360" w:afterAutospacing="0"/>
        <w:rPr>
          <w:rStyle w:val="Pogrubienie"/>
          <w:color w:val="141412"/>
        </w:rPr>
      </w:pPr>
      <w:r w:rsidRPr="40260F4F">
        <w:rPr>
          <w:rStyle w:val="Pogrubienie"/>
          <w:color w:val="141412"/>
        </w:rPr>
        <w:t>BERNADETA MICHALSKA</w:t>
      </w:r>
    </w:p>
    <w:p w14:paraId="0C5010B1" w14:textId="4DEE8E06" w:rsidR="03566818" w:rsidRDefault="03566818" w:rsidP="40260F4F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rStyle w:val="Pogrubienie"/>
          <w:b w:val="0"/>
          <w:bCs w:val="0"/>
          <w:color w:val="141412"/>
        </w:rPr>
      </w:pPr>
      <w:r w:rsidRPr="40260F4F">
        <w:rPr>
          <w:rStyle w:val="Pogrubienie"/>
          <w:b w:val="0"/>
          <w:bCs w:val="0"/>
          <w:color w:val="141412"/>
        </w:rPr>
        <w:t>Jestem egzaminatorem z języka łacińskiego i kultury antycznej. Uk</w:t>
      </w:r>
      <w:r w:rsidR="3DB9923E" w:rsidRPr="40260F4F">
        <w:rPr>
          <w:rStyle w:val="Pogrubienie"/>
          <w:b w:val="0"/>
          <w:bCs w:val="0"/>
          <w:color w:val="141412"/>
        </w:rPr>
        <w:t>ończyłam studia magisterskie na Katolickim Uniwersytecie Lubelskim na kierunku filologia klasyczna oraz studia</w:t>
      </w:r>
      <w:r w:rsidR="44ED83EE" w:rsidRPr="40260F4F">
        <w:rPr>
          <w:rStyle w:val="Pogrubienie"/>
          <w:b w:val="0"/>
          <w:bCs w:val="0"/>
          <w:color w:val="141412"/>
        </w:rPr>
        <w:t xml:space="preserve"> pierwszego stopnia na Uniwersytecie Śląskim na kierunku filologia w specjalności język hiszpański</w:t>
      </w:r>
      <w:r w:rsidR="1F113C48" w:rsidRPr="40260F4F">
        <w:rPr>
          <w:rStyle w:val="Pogrubienie"/>
          <w:b w:val="0"/>
          <w:bCs w:val="0"/>
          <w:color w:val="141412"/>
        </w:rPr>
        <w:t xml:space="preserve"> a także Nauczycielskie Kolegium Języków Obcych </w:t>
      </w:r>
      <w:proofErr w:type="spellStart"/>
      <w:r w:rsidR="1F113C48" w:rsidRPr="40260F4F">
        <w:rPr>
          <w:rStyle w:val="Pogrubienie"/>
          <w:b w:val="0"/>
          <w:bCs w:val="0"/>
          <w:color w:val="141412"/>
        </w:rPr>
        <w:t>Promar</w:t>
      </w:r>
      <w:proofErr w:type="spellEnd"/>
      <w:r w:rsidR="1F113C48" w:rsidRPr="40260F4F">
        <w:rPr>
          <w:rStyle w:val="Pogrubienie"/>
          <w:b w:val="0"/>
          <w:bCs w:val="0"/>
          <w:color w:val="141412"/>
        </w:rPr>
        <w:t xml:space="preserve"> – International </w:t>
      </w:r>
      <w:r>
        <w:br/>
      </w:r>
      <w:r w:rsidR="1F113C48" w:rsidRPr="40260F4F">
        <w:rPr>
          <w:rStyle w:val="Pogrubienie"/>
          <w:b w:val="0"/>
          <w:bCs w:val="0"/>
          <w:color w:val="141412"/>
        </w:rPr>
        <w:t>w Rzeszowie.</w:t>
      </w:r>
      <w:r w:rsidR="633D7172" w:rsidRPr="40260F4F">
        <w:rPr>
          <w:rStyle w:val="Pogrubienie"/>
          <w:b w:val="0"/>
          <w:bCs w:val="0"/>
          <w:color w:val="141412"/>
        </w:rPr>
        <w:t xml:space="preserve"> </w:t>
      </w:r>
      <w:r w:rsidR="2585DD90" w:rsidRPr="40260F4F">
        <w:rPr>
          <w:rStyle w:val="Pogrubienie"/>
          <w:b w:val="0"/>
          <w:bCs w:val="0"/>
          <w:color w:val="141412"/>
        </w:rPr>
        <w:t>Pracuję jako nauczyciel języka łacińskiego i hiszpańskiego</w:t>
      </w:r>
      <w:r w:rsidR="76285E60" w:rsidRPr="40260F4F">
        <w:rPr>
          <w:rStyle w:val="Pogrubienie"/>
          <w:b w:val="0"/>
          <w:bCs w:val="0"/>
          <w:color w:val="141412"/>
        </w:rPr>
        <w:t xml:space="preserve"> ucząc młodzież licealną, a od kilku lat również uczniów szkoły podstawowej.</w:t>
      </w:r>
      <w:r w:rsidR="5D2695D2" w:rsidRPr="40260F4F">
        <w:rPr>
          <w:rStyle w:val="Pogrubienie"/>
          <w:b w:val="0"/>
          <w:bCs w:val="0"/>
          <w:color w:val="141412"/>
        </w:rPr>
        <w:t xml:space="preserve"> </w:t>
      </w:r>
      <w:r w:rsidR="250A4517" w:rsidRPr="40260F4F">
        <w:rPr>
          <w:rStyle w:val="Pogrubienie"/>
          <w:b w:val="0"/>
          <w:bCs w:val="0"/>
          <w:color w:val="141412"/>
        </w:rPr>
        <w:t>L</w:t>
      </w:r>
      <w:r w:rsidR="5D2695D2" w:rsidRPr="40260F4F">
        <w:rPr>
          <w:rStyle w:val="Pogrubienie"/>
          <w:b w:val="0"/>
          <w:bCs w:val="0"/>
          <w:color w:val="141412"/>
        </w:rPr>
        <w:t xml:space="preserve">ubię literaturę historyczną </w:t>
      </w:r>
      <w:r>
        <w:br/>
      </w:r>
      <w:r w:rsidR="5D2695D2" w:rsidRPr="40260F4F">
        <w:rPr>
          <w:rStyle w:val="Pogrubienie"/>
          <w:b w:val="0"/>
          <w:bCs w:val="0"/>
          <w:color w:val="141412"/>
        </w:rPr>
        <w:t>i podróżniczą</w:t>
      </w:r>
      <w:r w:rsidR="39F39982" w:rsidRPr="40260F4F">
        <w:rPr>
          <w:rStyle w:val="Pogrubienie"/>
          <w:b w:val="0"/>
          <w:bCs w:val="0"/>
          <w:color w:val="141412"/>
        </w:rPr>
        <w:t xml:space="preserve">, wspinaczkę górską </w:t>
      </w:r>
      <w:r w:rsidR="3E599FA8" w:rsidRPr="40260F4F">
        <w:rPr>
          <w:rStyle w:val="Pogrubienie"/>
          <w:b w:val="0"/>
          <w:bCs w:val="0"/>
          <w:color w:val="141412"/>
        </w:rPr>
        <w:t>oraz</w:t>
      </w:r>
      <w:r w:rsidR="39F39982" w:rsidRPr="40260F4F">
        <w:rPr>
          <w:rStyle w:val="Pogrubienie"/>
          <w:b w:val="0"/>
          <w:bCs w:val="0"/>
          <w:color w:val="141412"/>
        </w:rPr>
        <w:t xml:space="preserve"> poznawanie </w:t>
      </w:r>
      <w:r w:rsidR="49630A4F" w:rsidRPr="40260F4F">
        <w:rPr>
          <w:rStyle w:val="Pogrubienie"/>
          <w:b w:val="0"/>
          <w:bCs w:val="0"/>
          <w:color w:val="141412"/>
        </w:rPr>
        <w:t xml:space="preserve">ciekawych ludzi i </w:t>
      </w:r>
      <w:r w:rsidR="39F39982" w:rsidRPr="40260F4F">
        <w:rPr>
          <w:rStyle w:val="Pogrubienie"/>
          <w:b w:val="0"/>
          <w:bCs w:val="0"/>
          <w:color w:val="141412"/>
        </w:rPr>
        <w:t>nowych miejsc.</w:t>
      </w:r>
      <w:r w:rsidR="31F4F043" w:rsidRPr="40260F4F">
        <w:rPr>
          <w:rStyle w:val="Pogrubienie"/>
          <w:b w:val="0"/>
          <w:bCs w:val="0"/>
          <w:color w:val="141412"/>
        </w:rPr>
        <w:t xml:space="preserve"> Bardzo lubię mitologię starożytnej Grecji, mądre sentencje starożytnych Rzymian i kulturę Ame</w:t>
      </w:r>
      <w:r w:rsidR="39453D7B" w:rsidRPr="40260F4F">
        <w:rPr>
          <w:rStyle w:val="Pogrubienie"/>
          <w:b w:val="0"/>
          <w:bCs w:val="0"/>
          <w:color w:val="141412"/>
        </w:rPr>
        <w:t xml:space="preserve">ryki Południowej, a szczególne Peru. </w:t>
      </w:r>
    </w:p>
    <w:p w14:paraId="7EA6B611" w14:textId="434610FE" w:rsidR="39453D7B" w:rsidRDefault="39453D7B" w:rsidP="40260F4F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rStyle w:val="Pogrubienie"/>
          <w:b w:val="0"/>
          <w:bCs w:val="0"/>
          <w:color w:val="141412"/>
        </w:rPr>
      </w:pPr>
      <w:r w:rsidRPr="40260F4F">
        <w:rPr>
          <w:rStyle w:val="Pogrubienie"/>
          <w:b w:val="0"/>
          <w:bCs w:val="0"/>
          <w:color w:val="141412"/>
        </w:rPr>
        <w:t>Zapraszam do kontaktu pod</w:t>
      </w:r>
      <w:r w:rsidR="670C7AB0" w:rsidRPr="40260F4F">
        <w:rPr>
          <w:rStyle w:val="Pogrubienie"/>
          <w:b w:val="0"/>
          <w:bCs w:val="0"/>
          <w:color w:val="141412"/>
        </w:rPr>
        <w:t xml:space="preserve"> adresem: </w:t>
      </w:r>
      <w:r w:rsidR="670C7AB0" w:rsidRPr="40260F4F">
        <w:rPr>
          <w:rStyle w:val="Pogrubienie"/>
          <w:color w:val="141412"/>
        </w:rPr>
        <w:t>bemichalska@gmail.com</w:t>
      </w:r>
      <w:r w:rsidR="5D2695D2" w:rsidRPr="40260F4F">
        <w:rPr>
          <w:rStyle w:val="Pogrubienie"/>
          <w:b w:val="0"/>
          <w:bCs w:val="0"/>
          <w:color w:val="141412"/>
        </w:rPr>
        <w:t xml:space="preserve"> </w:t>
      </w:r>
      <w:r w:rsidR="1F113C48" w:rsidRPr="40260F4F">
        <w:rPr>
          <w:rStyle w:val="Pogrubienie"/>
          <w:b w:val="0"/>
          <w:bCs w:val="0"/>
          <w:color w:val="141412"/>
        </w:rPr>
        <w:t xml:space="preserve"> </w:t>
      </w:r>
    </w:p>
    <w:p w14:paraId="56F69731" w14:textId="2980937E" w:rsidR="00DB0DA2" w:rsidRPr="00DB0DA2" w:rsidRDefault="140C0EAA" w:rsidP="40260F4F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b/>
          <w:bCs/>
        </w:rPr>
      </w:pPr>
      <w:r w:rsidRPr="40260F4F">
        <w:rPr>
          <w:b/>
          <w:bCs/>
        </w:rPr>
        <w:t>Wybrane założenia podstawy programowej</w:t>
      </w:r>
    </w:p>
    <w:p w14:paraId="71AA3D0E" w14:textId="77777777" w:rsidR="00C75B70" w:rsidRPr="0008070A" w:rsidRDefault="4E0EDFB1" w:rsidP="40260F4F">
      <w:pPr>
        <w:shd w:val="clear" w:color="auto" w:fill="FFFFFF" w:themeFill="background1"/>
        <w:spacing w:before="100" w:beforeAutospacing="1" w:after="100" w:afterAutospacing="1" w:line="240" w:lineRule="auto"/>
        <w:ind w:left="18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KOMPETENCJEJĘZYKOWE:</w:t>
      </w:r>
    </w:p>
    <w:p w14:paraId="2AF54630" w14:textId="77777777" w:rsidR="00C75B70" w:rsidRPr="0008070A" w:rsidRDefault="4E0EDFB1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podstaw języka łacińskiego pozwalająca czytać pod kierunkiem nauczyciela nieskomplikowane, różnorodne formalnie i pochodzące z różnych epok oryginalne teksty łacińskie. </w:t>
      </w:r>
    </w:p>
    <w:p w14:paraId="1E925BE8" w14:textId="77777777" w:rsidR="00C75B70" w:rsidRPr="0008070A" w:rsidRDefault="4E0EDFB1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rozpoznaje (z pomocą tabelek gramatycznych lub bez tej pomocy) następujące formy z zakresu gramatyki języka łacińskiego: </w:t>
      </w:r>
    </w:p>
    <w:p w14:paraId="6FDC9D28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formy fleksyjne rzeczowników regularnych deklinacji I–V, </w:t>
      </w:r>
    </w:p>
    <w:p w14:paraId="7D860B7A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formy fleksyjne przymiotników deklinacji I–III (w stopniu równym), </w:t>
      </w:r>
    </w:p>
    <w:p w14:paraId="1A734294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formy stopnia wyższego (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comparativus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i najwyższego (superlativus) przymiotników: bonus,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malus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magnus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parvus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42FB362C" w14:textId="5AAF6595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formy fleksyjne i zasady użycia zaimków osobowych (oprócz G.) i dzierżawczych, </w:t>
      </w:r>
    </w:p>
    <w:p w14:paraId="3A5A0DBA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formy strony czynnej i biernej czasowników regularnych koniugacji I–IV w trybie orzekającym w czasie teraźniejszym (indicativus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praesentis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activi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passivi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formy strony czynnej w trybie orzekającym w czasie przeszłym dokonanym (indicativus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perfecti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activi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oraz formy strony czynnej w trybie rozkazującym w czasie teraźniejszym (imperativus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praesentis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activi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</w:p>
    <w:p w14:paraId="2BCD66F2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formy bezokolicznika łacińskiego infinitivus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praesentis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activi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01F32B9B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formy czasowników nieregularnych w trybie orzekającym w czasie teraźniejszym (indicativus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praesentis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):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esse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wybrane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composita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possum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adsum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absum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</w:p>
    <w:p w14:paraId="68DC9D0B" w14:textId="77777777" w:rsidR="00C75B70" w:rsidRPr="0008070A" w:rsidRDefault="4E0EDFB1" w:rsidP="40260F4F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podstawowe przyimki (wraz ze zrozumieniem sensu przypadka, z którym się łączą); </w:t>
      </w:r>
    </w:p>
    <w:p w14:paraId="7B205A61" w14:textId="0E90FE33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8190A1" w14:textId="77777777" w:rsidR="00C75B70" w:rsidRPr="0008070A" w:rsidRDefault="4E0EDFB1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rozpoznaje następujące zjawiska składniowe z zakresu gramatyki języka łacińskiego: </w:t>
      </w:r>
    </w:p>
    <w:p w14:paraId="6F9654F7" w14:textId="77777777" w:rsidR="00C75B70" w:rsidRPr="0008070A" w:rsidRDefault="4E0EDFB1" w:rsidP="40260F4F">
      <w:pPr>
        <w:pStyle w:val="Akapitzlist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zdania z orzeczeniem imiennym, </w:t>
      </w:r>
    </w:p>
    <w:p w14:paraId="754677E5" w14:textId="77777777" w:rsidR="00C75B70" w:rsidRPr="0008070A" w:rsidRDefault="4E0EDFB1" w:rsidP="40260F4F">
      <w:pPr>
        <w:pStyle w:val="Akapitzlist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strukturę składniową zdania w stronie czynnej i biernej (twierdzącego i przeczącego); </w:t>
      </w:r>
    </w:p>
    <w:p w14:paraId="4B548CD6" w14:textId="54972DE7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728940" w14:textId="77777777" w:rsidR="00C75B70" w:rsidRPr="0008070A" w:rsidRDefault="4E0EDFB1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potrafi odnaleźć w dołączonym do tekstu słowniczku lub w słowniku słowa występujące w tłumaczonym tekście; </w:t>
      </w:r>
    </w:p>
    <w:p w14:paraId="640815DE" w14:textId="77777777" w:rsidR="00C75B70" w:rsidRPr="0008070A" w:rsidRDefault="4E0EDFB1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potrafi czytać ze zrozumieniem bardzo prosty oryginalny tekst łaciński prozatorski oraz poetycki, posługując się dołączonym do tekstu słowniczkiem lub słownikiem oraz tabelkami gramatycznymi; </w:t>
      </w:r>
    </w:p>
    <w:p w14:paraId="535E8ADC" w14:textId="237D91D9" w:rsidR="00C75B70" w:rsidRPr="0008070A" w:rsidRDefault="0008070A" w:rsidP="40260F4F">
      <w:pPr>
        <w:shd w:val="clear" w:color="auto" w:fill="FFFFFF" w:themeFill="background1"/>
        <w:spacing w:before="100" w:beforeAutospacing="1" w:after="100" w:afterAutospacing="1" w:line="240" w:lineRule="auto"/>
        <w:ind w:left="360" w:right="-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br/>
      </w:r>
      <w:r w:rsidR="4E0EDFB1" w:rsidRPr="40260F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KOMPETENCJE KULTUROWE:</w:t>
      </w:r>
    </w:p>
    <w:p w14:paraId="4FF430AB" w14:textId="1006C22D" w:rsidR="4E0EDFB1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Język łaciński w rodzinie języków indoeuropejskich</w:t>
      </w:r>
      <w:r w:rsidR="5CD51BAB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7968AD13" w14:textId="492822B2" w:rsidR="5CD51BAB" w:rsidRDefault="5CD51BAB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Uczeń:</w:t>
      </w:r>
    </w:p>
    <w:p w14:paraId="26AFE7B6" w14:textId="72111242" w:rsidR="5CD51BAB" w:rsidRDefault="5CD51BAB" w:rsidP="40260F4F">
      <w:pPr>
        <w:pStyle w:val="Akapitzlist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 świadomość istnienia europejskiej rodziny języków oraz faktu, że należy do niej więks</w:t>
      </w:r>
      <w:r w:rsidR="0D6AB82C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zość współczesnych języków europejskich, w tym język polski;</w:t>
      </w:r>
    </w:p>
    <w:p w14:paraId="5843BD86" w14:textId="4E395755" w:rsidR="4EDDEF3F" w:rsidRDefault="4EDDEF3F" w:rsidP="40260F4F">
      <w:pPr>
        <w:pStyle w:val="Akapitzlist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D6AB82C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="41AB61C2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A4B4E9D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nazwy ważniejszych grup językowych w obrębie rodziny </w:t>
      </w:r>
      <w:proofErr w:type="spellStart"/>
      <w:r w:rsidR="0A4B4E9D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indoeuropoejskiej</w:t>
      </w:r>
      <w:proofErr w:type="spellEnd"/>
      <w:r w:rsidR="0A4B4E9D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(indyjska, irańska, grecka, italska, celtyck</w:t>
      </w:r>
      <w:r w:rsidR="1B3FC849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a, germańska, bałtosłowiańska) oraz potrafi przyporządkować do każdej z nich co najmniej po jednym </w:t>
      </w:r>
      <w:r w:rsidR="6D7E75AD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(żywym lub martwym) języku;</w:t>
      </w:r>
    </w:p>
    <w:p w14:paraId="54B645C7" w14:textId="22BF5612" w:rsidR="3B61A889" w:rsidRDefault="3B61A889" w:rsidP="40260F4F">
      <w:pPr>
        <w:pStyle w:val="Akapitzlist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6D7E75AD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5CD51BAB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7C7E9F37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świadomość szczególnej,</w:t>
      </w:r>
      <w:r w:rsidR="029AB249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wynikłej z historii politycznej, pozycji łaciny w grupie</w:t>
      </w:r>
      <w:r w:rsidR="7EAA5AD1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28849304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29AB249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ęzyków italskich oraz istnienia na Półwyspie A</w:t>
      </w:r>
      <w:r w:rsidR="1F1C1648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penińskim</w:t>
      </w:r>
      <w:r w:rsidR="47A00CD6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</w:t>
      </w:r>
      <w:r w:rsidR="6AE7DFA4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indoeuropejskiego języka ludu Etrusków;</w:t>
      </w:r>
    </w:p>
    <w:p w14:paraId="5080B88B" w14:textId="3305615F" w:rsidR="31C7B805" w:rsidRDefault="31C7B805" w:rsidP="40260F4F">
      <w:pPr>
        <w:pStyle w:val="Akapitzlist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6AE7DFA4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="7C7E9F37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rozumie termin “romańska grupa językowa” oraz ma świadomość swoistości te</w:t>
      </w:r>
      <w:r w:rsidR="76C7CBD2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 grupy na tle pozostałych grup językowych rodziny indoeu</w:t>
      </w:r>
      <w:r w:rsidR="12D5CCF9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ropejskiej, a także rozumie hybrydowy, germańsko - romański charakter </w:t>
      </w:r>
      <w:r w:rsidR="0E9B58FC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języka angielskiego;</w:t>
      </w:r>
    </w:p>
    <w:p w14:paraId="7A9A0F22" w14:textId="6F061317" w:rsidR="472F9719" w:rsidRDefault="472F9719" w:rsidP="40260F4F">
      <w:pPr>
        <w:pStyle w:val="Akapitzlist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E9B58FC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31C7B805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15A829C7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świadomość możliwych</w:t>
      </w:r>
      <w:r w:rsidR="49C07180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znaczeń pojęć “cywilizacji łacińskiej” i “cywilizacji Zachodu”.</w:t>
      </w:r>
    </w:p>
    <w:p w14:paraId="5D517202" w14:textId="157A7275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left="108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D9FB66" w14:textId="40D1D32A" w:rsidR="2359493F" w:rsidRDefault="2359493F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co nam dziś antyk?</w:t>
      </w:r>
    </w:p>
    <w:p w14:paraId="21CD36A9" w14:textId="4D5F0447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E0C774" w14:textId="2DF549D2" w:rsidR="2359493F" w:rsidRDefault="2359493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Uczeń: </w:t>
      </w:r>
    </w:p>
    <w:p w14:paraId="7FBC1661" w14:textId="210D401F" w:rsidR="3E695D35" w:rsidRDefault="3E695D35" w:rsidP="40260F4F">
      <w:pPr>
        <w:pStyle w:val="Akapitzlist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2E960DFB" w:rsidRPr="40260F4F">
        <w:rPr>
          <w:rFonts w:ascii="Times New Roman" w:eastAsia="Times New Roman" w:hAnsi="Times New Roman" w:cs="Times New Roman"/>
          <w:sz w:val="24"/>
          <w:szCs w:val="24"/>
        </w:rPr>
        <w:t xml:space="preserve">posiada podstawową wiedzę na temat: </w:t>
      </w:r>
    </w:p>
    <w:p w14:paraId="1545788E" w14:textId="5A6A52E5" w:rsidR="2E960DFB" w:rsidRDefault="2E960DFB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procesu transmisji tekstów antycznych z czasów starożytnych do nowożytnych oraz ich wprowadzenia do obiegu u zarania nowożytności, </w:t>
      </w:r>
    </w:p>
    <w:p w14:paraId="608AFD72" w14:textId="4BB0FB17" w:rsidR="2E960DFB" w:rsidRDefault="2E960DFB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b) fascynacji materialnymi zabytkami świata antycznego od średniowiecza do czasów współczesnych ze szczególnym uwzględnieniem narodzin archeologii klasycznej w drugiej połowie XVIII w.;</w:t>
      </w:r>
    </w:p>
    <w:p w14:paraId="0F38CD81" w14:textId="20A4B401" w:rsidR="2C7BEF6C" w:rsidRDefault="2C7BEF6C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7) wie, czym zajmują się badacze antyku i jego recepcji o następujących specjalizacjach: filolog klasyczny, archeolog, papirolog, epigrafik, numizmatyk; </w:t>
      </w:r>
    </w:p>
    <w:p w14:paraId="0F3E1B62" w14:textId="6D607F11" w:rsidR="2C7BEF6C" w:rsidRDefault="2C7BEF6C" w:rsidP="40260F4F">
      <w:pPr>
        <w:shd w:val="clear" w:color="auto" w:fill="FFFFFF" w:themeFill="background1"/>
        <w:spacing w:beforeAutospacing="1" w:afterAutospacing="1" w:line="240" w:lineRule="auto"/>
        <w:ind w:left="720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8) rozumie znaczenie pojęć: klasyczny (według Władysława Tatarkiewicza), kultura antyczna, tradycja i recepcja antyku, humanizm.</w:t>
      </w:r>
    </w:p>
    <w:p w14:paraId="641EA5BD" w14:textId="5400530C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4F3FE74B" w14:textId="16C2A49A" w:rsidR="00C75B70" w:rsidRPr="0008070A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Roma antiqua, nova, 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aeterna</w:t>
      </w:r>
      <w:proofErr w:type="spellEnd"/>
      <w:r w:rsidR="019A95A9"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Miasto, dzięki któremu trwa antyk.</w:t>
      </w:r>
    </w:p>
    <w:p w14:paraId="179185A4" w14:textId="4E3D3C92" w:rsidR="33D95D52" w:rsidRDefault="33D95D52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4300D313" w14:textId="1097BA4D" w:rsidR="33D95D52" w:rsidRDefault="33D95D52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1) zna mit o założeniu Rzymu oraz jego, przekazaną przez tradycję, datę; </w:t>
      </w:r>
    </w:p>
    <w:p w14:paraId="2C5C90ED" w14:textId="1AA90282" w:rsidR="33D95D52" w:rsidRDefault="33D95D52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2) posiada podstawową wiedzę o ciągłości urbanistycznej Rzymu od miasta starożytnego poprzez średniowiecze, renesans po barok; </w:t>
      </w:r>
    </w:p>
    <w:p w14:paraId="4E63E7E9" w14:textId="6FE7D9F0" w:rsidR="33D95D52" w:rsidRDefault="33D95D52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3) dostrzega znaczenie Rzymu w różnych epokach jako politycznej, kulturalnej i duchowej stolicy świata zachodniego; tłumaczy każdy z tych aspektów, posługując się odpowiednio dobraną argumentacją; </w:t>
      </w:r>
      <w:r>
        <w:tab/>
      </w: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CCF97F" w14:textId="62AF3543" w:rsidR="33D95D52" w:rsidRDefault="33D95D52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4) rozumie Rzym z jego substancją zabytkową jako swoisty przetrwalnik antyku i jego tradycji w sztukach wizualnych i architekturze; rozumie określenie Wieczne Miasto i termin spolia; </w:t>
      </w:r>
    </w:p>
    <w:p w14:paraId="5E93926B" w14:textId="06834011" w:rsidR="33D95D52" w:rsidRDefault="33D95D52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5) referuje, z wykorzystaniem narzędzi i zasobów cyfrowych, podstawowe informacje na temat najsłynniejszych zabytków Rzymu starożytnego, nowożytnego oraz arcydzieł sztuki.</w:t>
      </w:r>
    </w:p>
    <w:p w14:paraId="0DBAE100" w14:textId="1FD4F3DB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1EABA5CF" w14:textId="7AE744F9" w:rsidR="00C75B70" w:rsidRPr="0008070A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Mitologia grecka</w:t>
      </w:r>
      <w:r w:rsidR="15A548F0" w:rsidRPr="40260F4F">
        <w:rPr>
          <w:rFonts w:ascii="Times New Roman" w:eastAsia="Times New Roman" w:hAnsi="Times New Roman" w:cs="Times New Roman"/>
          <w:sz w:val="24"/>
          <w:szCs w:val="24"/>
        </w:rPr>
        <w:t xml:space="preserve"> jako medium znaczeń od starożytności po współczesną kulturę popularną.</w:t>
      </w:r>
    </w:p>
    <w:p w14:paraId="72C75842" w14:textId="30698BA0" w:rsidR="00C75B70" w:rsidRPr="0008070A" w:rsidRDefault="6A41DBC7" w:rsidP="40260F4F">
      <w:pPr>
        <w:shd w:val="clear" w:color="auto" w:fill="FFFFFF" w:themeFill="background1"/>
        <w:spacing w:before="100" w:beforeAutospacing="1" w:after="100" w:afterAutospacing="1" w:line="240" w:lineRule="auto"/>
        <w:ind w:left="708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1A05C949" w14:textId="0D1CBE18" w:rsidR="00C75B70" w:rsidRPr="0008070A" w:rsidRDefault="6A41DBC7" w:rsidP="40260F4F">
      <w:pPr>
        <w:shd w:val="clear" w:color="auto" w:fill="FFFFFF" w:themeFill="background1"/>
        <w:spacing w:before="100" w:beforeAutospacing="1" w:after="100" w:afterAutospacing="1" w:line="240" w:lineRule="auto"/>
        <w:ind w:left="708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1) wykorzystując odpowiednie źródła potrafi streścić wybrany przez siebie rozbudowany mit (np. cykle: trojański, heraklejski, mit: dionizyjski, apolliński, wybrane metamorfozy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Owidiańskie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259D7EE" w14:textId="015ED0ED" w:rsidR="00C75B70" w:rsidRPr="0008070A" w:rsidRDefault="0F49C920" w:rsidP="40260F4F">
      <w:pPr>
        <w:shd w:val="clear" w:color="auto" w:fill="FFFFFF" w:themeFill="background1"/>
        <w:spacing w:before="100" w:beforeAutospacing="1" w:after="100" w:afterAutospacing="1" w:line="240" w:lineRule="auto"/>
        <w:ind w:left="708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2) posiada podstawową wiedzę o tradycji przedstawiania postaci mitologicznych w sztukach wizualnych od pierwowzorów starożytnych do dzieł współczesnych;</w:t>
      </w:r>
    </w:p>
    <w:p w14:paraId="78CFCEC4" w14:textId="7A8F0424" w:rsidR="00C75B70" w:rsidRPr="0008070A" w:rsidRDefault="0F49C920" w:rsidP="40260F4F">
      <w:pPr>
        <w:shd w:val="clear" w:color="auto" w:fill="FFFFFF" w:themeFill="background1"/>
        <w:spacing w:before="100" w:beforeAutospacing="1" w:after="100" w:afterAutospacing="1" w:line="240" w:lineRule="auto"/>
        <w:ind w:left="708"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3) rozumie zjawisko reinterpretacji mitów jako nieodłączną tradycję kultury europejskiej począwszy od starożytności, poświadczoną zarówno w kontekście pogańskim, jak i chrześcijańskim.</w:t>
      </w:r>
    </w:p>
    <w:p w14:paraId="03EBBB04" w14:textId="3440DFE9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left="708"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1284D163" w14:textId="2E0E35C2" w:rsidR="1D8774D3" w:rsidRDefault="1D8774D3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Demokracja ateńska: ideał i praktyka.</w:t>
      </w:r>
    </w:p>
    <w:p w14:paraId="47BA2ABE" w14:textId="6CD558FC" w:rsidR="4E0F5ACE" w:rsidRDefault="4E0F5ACE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14:paraId="07E71241" w14:textId="58B47BF3" w:rsidR="4E0F5ACE" w:rsidRDefault="4E0F5ACE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lastRenderedPageBreak/>
        <w:t>rozumie znaczenie pojęć: polis, demokracja, demagog, demagogia, retoryka: sądowa, polityczna, popisowa.</w:t>
      </w:r>
    </w:p>
    <w:p w14:paraId="48AB9924" w14:textId="4973D51E" w:rsidR="386F4D6D" w:rsidRDefault="386F4D6D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Ciało w kulturze grecko-rzymskiej. </w:t>
      </w:r>
      <w:proofErr w:type="spellStart"/>
      <w:r w:rsidRPr="007D3AAB">
        <w:rPr>
          <w:rFonts w:ascii="Times New Roman" w:eastAsia="Times New Roman" w:hAnsi="Times New Roman" w:cs="Times New Roman"/>
          <w:sz w:val="24"/>
          <w:szCs w:val="24"/>
          <w:lang w:val="en-US"/>
        </w:rPr>
        <w:t>Balnea</w:t>
      </w:r>
      <w:proofErr w:type="spellEnd"/>
      <w:r w:rsidRPr="007D3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AB">
        <w:rPr>
          <w:rFonts w:ascii="Times New Roman" w:eastAsia="Times New Roman" w:hAnsi="Times New Roman" w:cs="Times New Roman"/>
          <w:sz w:val="24"/>
          <w:szCs w:val="24"/>
          <w:lang w:val="en-US"/>
        </w:rPr>
        <w:t>vina</w:t>
      </w:r>
      <w:proofErr w:type="spellEnd"/>
      <w:r w:rsidRPr="007D3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Venus </w:t>
      </w:r>
      <w:proofErr w:type="spellStart"/>
      <w:r w:rsidRPr="007D3AAB">
        <w:rPr>
          <w:rFonts w:ascii="Times New Roman" w:eastAsia="Times New Roman" w:hAnsi="Times New Roman" w:cs="Times New Roman"/>
          <w:sz w:val="24"/>
          <w:szCs w:val="24"/>
          <w:lang w:val="en-US"/>
        </w:rPr>
        <w:t>corrumpunt</w:t>
      </w:r>
      <w:proofErr w:type="spellEnd"/>
      <w:r w:rsidRPr="007D3A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corpora nostra.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vitam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faciunt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balnea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Venus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(inskrypcja). </w:t>
      </w:r>
    </w:p>
    <w:p w14:paraId="68BFF07A" w14:textId="327B06C5" w:rsidR="386F4D6D" w:rsidRDefault="386F4D6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6737393A" w14:textId="1A113232" w:rsidR="386F4D6D" w:rsidRDefault="386F4D6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1) zna elementy wychowania greckiego nastawione na rozwój kultury fizycznej; rozumie termin kalokagathia; </w:t>
      </w:r>
      <w:r>
        <w:tab/>
      </w:r>
    </w:p>
    <w:p w14:paraId="595E1CDA" w14:textId="500E4130" w:rsidR="386F4D6D" w:rsidRDefault="386F4D6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2) zna podstawowe fakty dotyczące uprawiania sportu w Grecji, dyscypliny sportowe; 3) rozumie rolę igrzysk, w szczególności igrzysk olimpijskich;</w:t>
      </w:r>
    </w:p>
    <w:p w14:paraId="49EDD31B" w14:textId="6C38CB7B" w:rsidR="386F4D6D" w:rsidRDefault="386F4D6D" w:rsidP="40260F4F">
      <w:pPr>
        <w:shd w:val="clear" w:color="auto" w:fill="FFFFFF" w:themeFill="background1"/>
        <w:spacing w:beforeAutospacing="1" w:afterAutospacing="1" w:line="240" w:lineRule="auto"/>
        <w:ind w:left="708"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4) posiada podstawową wiedzę na temat pielęgnacji ciała w starożytności, w tym społecznej funkcji term; </w:t>
      </w:r>
    </w:p>
    <w:p w14:paraId="2B1F3D03" w14:textId="764D87FE" w:rsidR="386F4D6D" w:rsidRDefault="386F4D6D" w:rsidP="40260F4F">
      <w:pPr>
        <w:shd w:val="clear" w:color="auto" w:fill="FFFFFF" w:themeFill="background1"/>
        <w:spacing w:beforeAutospacing="1" w:afterAutospacing="1" w:line="240" w:lineRule="auto"/>
        <w:ind w:left="708"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5)</w:t>
      </w:r>
      <w:r w:rsidR="7F2F9BBA"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posiada podstawową wiedzę o rzymskich obrządkach pogrzebowych; zna kategorie zabytków: stela, urna, sarkofag; </w:t>
      </w:r>
    </w:p>
    <w:p w14:paraId="6399F7E2" w14:textId="22590320" w:rsidR="386F4D6D" w:rsidRDefault="386F4D6D" w:rsidP="40260F4F">
      <w:pPr>
        <w:shd w:val="clear" w:color="auto" w:fill="FFFFFF" w:themeFill="background1"/>
        <w:spacing w:beforeAutospacing="1" w:afterAutospacing="1" w:line="240" w:lineRule="auto"/>
        <w:ind w:left="708"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6)</w:t>
      </w:r>
      <w:r w:rsidR="36BD22A2"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0260F4F">
        <w:rPr>
          <w:rFonts w:ascii="Times New Roman" w:eastAsia="Times New Roman" w:hAnsi="Times New Roman" w:cs="Times New Roman"/>
          <w:sz w:val="24"/>
          <w:szCs w:val="24"/>
        </w:rPr>
        <w:t>rozumie znaczenie pojęć: termy, gymnasion, palestra, stadion, cyrk, sympozjon.</w:t>
      </w:r>
    </w:p>
    <w:p w14:paraId="167BDBC6" w14:textId="66EA3F8B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left="708"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15A58D79" w14:textId="4F196E4C" w:rsidR="4E0EDFB1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Klasyczny system wartości estetycznych w sztuce i architekturze. </w:t>
      </w:r>
    </w:p>
    <w:p w14:paraId="517A305C" w14:textId="2A4BB2E2" w:rsidR="1A49E7F8" w:rsidRDefault="1A49E7F8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21A65A94" w14:textId="247AF23D" w:rsidR="1A49E7F8" w:rsidRDefault="1A49E7F8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zna zasadnicze dla sztuki i architektury starożytnej Grecji i Rzymu i jej recepcji pojęcia, takie jak: mimesis, symetria, kanon, klasyczne porządki architektoniczne (także spiętrzony i wielki porządek), złota proporcja, harmonia.</w:t>
      </w:r>
    </w:p>
    <w:p w14:paraId="3C21E60B" w14:textId="571250F9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72916DDE" w14:textId="273E2231" w:rsidR="00C75B70" w:rsidRPr="0008070A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Rzymskie wzorce osobowe (</w:t>
      </w:r>
      <w:proofErr w:type="spellStart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exempla</w:t>
      </w:r>
      <w:proofErr w:type="spellEnd"/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pamięć historyczna i kult przodków jako budulec tożsamości, wspólnoty i narzędzie propagandy.</w:t>
      </w:r>
    </w:p>
    <w:p w14:paraId="2DA2974A" w14:textId="4569E91C" w:rsidR="06EADA36" w:rsidRDefault="06EADA36" w:rsidP="40260F4F">
      <w:pPr>
        <w:shd w:val="clear" w:color="auto" w:fill="FFFFFF" w:themeFill="background1"/>
        <w:spacing w:beforeAutospacing="1" w:afterAutospacing="1" w:line="240" w:lineRule="auto"/>
        <w:ind w:left="708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37B5A437" w14:textId="6F67C7D0" w:rsidR="06EADA36" w:rsidRDefault="06EADA36" w:rsidP="40260F4F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posiada podstawową wiedzę o charakterystycznych dla kultury starożytnego Rzymu zjawiskach, takich jak: </w:t>
      </w:r>
    </w:p>
    <w:p w14:paraId="653FBA90" w14:textId="4CFE84C3" w:rsidR="06EADA36" w:rsidRDefault="06EADA36" w:rsidP="40260F4F">
      <w:pPr>
        <w:shd w:val="clear" w:color="auto" w:fill="FFFFFF" w:themeFill="background1"/>
        <w:spacing w:beforeAutospacing="1" w:afterAutospacing="1" w:line="240" w:lineRule="auto"/>
        <w:ind w:left="720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a) kult przodków jako tradycja kształtująca model społeczny, </w:t>
      </w:r>
    </w:p>
    <w:p w14:paraId="15600227" w14:textId="0323403C" w:rsidR="06EADA36" w:rsidRDefault="06EADA36" w:rsidP="40260F4F">
      <w:pPr>
        <w:shd w:val="clear" w:color="auto" w:fill="FFFFFF" w:themeFill="background1"/>
        <w:spacing w:beforeAutospacing="1" w:afterAutospacing="1" w:line="240" w:lineRule="auto"/>
        <w:ind w:left="720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b) kult sławnych postaci (np. Eneasza, Lucjusza Juniusza Brutusa) jako czynnik państwowotwórczy i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wspólnototwórczy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8F1B26B" w14:textId="0BA20CD6" w:rsidR="06EADA36" w:rsidRDefault="06EADA36" w:rsidP="40260F4F">
      <w:pPr>
        <w:shd w:val="clear" w:color="auto" w:fill="FFFFFF" w:themeFill="background1"/>
        <w:spacing w:beforeAutospacing="1" w:afterAutospacing="1" w:line="240" w:lineRule="auto"/>
        <w:ind w:left="720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c) historie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egzemplarne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jako wzorce cnót obywatelskich i źródła nauk moralnych;</w:t>
      </w:r>
    </w:p>
    <w:p w14:paraId="3EC97A7F" w14:textId="3DC9D409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56F4B1F3" w14:textId="65F0BD21" w:rsidR="5654C763" w:rsidRDefault="5654C763" w:rsidP="40260F4F">
      <w:pPr>
        <w:shd w:val="clear" w:color="auto" w:fill="FFFFFF" w:themeFill="background1"/>
        <w:spacing w:beforeAutospacing="1" w:afterAutospacing="1" w:line="240" w:lineRule="auto"/>
        <w:ind w:left="720"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2) rozumie znaczenie pojęć: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virtus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gloria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maiorum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mores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maiorum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>, homo novus, polityka historyczna, propaganda historyczna.</w:t>
      </w:r>
    </w:p>
    <w:p w14:paraId="6975FBB7" w14:textId="1DCA4283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left="720"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24824CF5" w14:textId="0B353DE6" w:rsidR="4E0EDFB1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Kościoła pierwszych chrześcijan do rzymskiego Kościoła papieży. </w:t>
      </w:r>
    </w:p>
    <w:p w14:paraId="0161AA75" w14:textId="4832A675" w:rsidR="6992317A" w:rsidRDefault="6992317A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Uczeń: </w:t>
      </w:r>
    </w:p>
    <w:p w14:paraId="4E8C6492" w14:textId="3F19EAB3" w:rsidR="6992317A" w:rsidRDefault="6992317A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1) zna rolę św. Pawła w nadaniu chrześcijaństwu wymiaru uniwersalnego (na podstawie Gal 2,11–14); </w:t>
      </w:r>
    </w:p>
    <w:p w14:paraId="589C41B7" w14:textId="7256DEE7" w:rsidR="6992317A" w:rsidRDefault="6992317A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2) ma świadomość doktrynalnej różnorodności świata chrześcijańskiego pierwszych wieków; </w:t>
      </w:r>
    </w:p>
    <w:p w14:paraId="6CA6AD93" w14:textId="47FA7BAD" w:rsidR="6992317A" w:rsidRDefault="6992317A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3) dostrzega wpływ filozofii greckiej na rozwój doktryny chrześcijańskiej: rozumie tekst wyznania wiary jako wynik sporów o naturę Chrystusa („współistotny”) i istotę Trójcy; 4) zna zarys wydarzeń politycznych związanych z przełomem konstantyńskim i początkami papiestwa w V i VI w.; </w:t>
      </w:r>
    </w:p>
    <w:p w14:paraId="4682FD95" w14:textId="7D37FA28" w:rsidR="6992317A" w:rsidRDefault="6992317A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5) rozumie znaczenie pojęć: herezja, polemika, sobór, a także pojęcia logos i rozumie wieloznaczność jego tłumaczeń.</w:t>
      </w:r>
    </w:p>
    <w:p w14:paraId="7B8C132E" w14:textId="22B63B49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4C318451" w14:textId="5A8A5CBE" w:rsidR="4E0EDFB1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Cywilizacja imperium rzymskiego i jej znaczenie dla kształtu i rozwoju świata zachodniego. </w:t>
      </w:r>
    </w:p>
    <w:p w14:paraId="27254912" w14:textId="297FD677" w:rsidR="35A4AF9D" w:rsidRDefault="35A4AF9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23AF4A19" w14:textId="1C13B661" w:rsidR="35A4AF9D" w:rsidRDefault="35A4AF9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1) posiada podstawową wiedzę o cywilizacyjnych osiągnięciach starożytnych Rzymian w zakresie: </w:t>
      </w:r>
    </w:p>
    <w:p w14:paraId="31812EFA" w14:textId="1BBEF8C2" w:rsidR="35A4AF9D" w:rsidRDefault="35A4AF9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a) tworzenia zrębów myśli prawnej, uniwersalizacji tworzonych norm prawnych oraz kodyfikacji prawa, </w:t>
      </w:r>
    </w:p>
    <w:p w14:paraId="4E08A584" w14:textId="6361E750" w:rsidR="35A4AF9D" w:rsidRDefault="35A4AF9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b) budownictwa (prywatnego, publicznego, drogowego, wodociągowego) także w wymiarze technologicznym (produkcja oraz wykorzystanie betonu i szkła); </w:t>
      </w:r>
    </w:p>
    <w:p w14:paraId="32A7D183" w14:textId="4B393141" w:rsidR="35A4AF9D" w:rsidRDefault="35A4AF9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2) zna zasięg imperium rzymskiego za panowania Trajana i potrafi podać przykłady współczesnych europejskich miast, będących pierwotnie rzymskimi koloniami i obozami wojskowymi; </w:t>
      </w:r>
    </w:p>
    <w:p w14:paraId="314CF9C2" w14:textId="593FDAB9" w:rsidR="35A4AF9D" w:rsidRDefault="35A4AF9D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3) ma świadomość, że podstawą rozwoju cywilizacyjnego krajów Europy zachodniej jest fundament cywilizacji rzymskiej;</w:t>
      </w:r>
    </w:p>
    <w:p w14:paraId="0E8FEB11" w14:textId="1E70E941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22B1F7BC" w14:textId="452A8257" w:rsidR="00C75B70" w:rsidRPr="0008070A" w:rsidRDefault="4E0EDFB1" w:rsidP="40260F4F">
      <w:pPr>
        <w:pStyle w:val="Akapitzlist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Rzymska forma Rzeczypospolitej Obojga Narodów. </w:t>
      </w:r>
    </w:p>
    <w:p w14:paraId="7295F304" w14:textId="3081D071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</w:pPr>
    </w:p>
    <w:p w14:paraId="335954D0" w14:textId="77844EE9" w:rsidR="30389B05" w:rsidRDefault="30389B05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0121E5A3" w14:textId="1993B780" w:rsidR="30389B05" w:rsidRDefault="30389B05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1) ma świadomość, że wielu autorów polskiej literatury pisało (wyłącznie lub w części) po łacinie: Gall Anonim, Wincenty Kadłubek, Jan Długosz, Mikołaj Kopernik, Jan Kochanowski, Andrzej Frycz Modrzewski, Jan Łaski młodszy, Maciej Sarbiewski; </w:t>
      </w:r>
    </w:p>
    <w:p w14:paraId="5B69B3F2" w14:textId="272D5AED" w:rsidR="30389B05" w:rsidRDefault="30389B05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2) ma świadomość, że polskie piśmiennictwo XVI i XVII w. (m.in. pamiętniki, korespondencja, uchwały sejmików) powstawało często w języku mieszanym, polsko-łacińskim (makaronizmy);</w:t>
      </w:r>
    </w:p>
    <w:p w14:paraId="1966BD95" w14:textId="65370EB2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12549052" w14:textId="1E6AF4DB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2A39A951" w14:textId="4C361FC5" w:rsidR="40260F4F" w:rsidRDefault="40260F4F" w:rsidP="40260F4F">
      <w:pPr>
        <w:pStyle w:val="Akapitzlist"/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7DFD6ABC" w14:textId="77777777" w:rsidR="00C75B70" w:rsidRPr="0008070A" w:rsidRDefault="00C75B70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9A8A98" w14:textId="4C94352A" w:rsidR="00C75B70" w:rsidRPr="0008070A" w:rsidRDefault="6C12F4DB" w:rsidP="40260F4F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0260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ZABYTKI RZYMU</w:t>
      </w:r>
    </w:p>
    <w:p w14:paraId="7F998548" w14:textId="4834F875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EC0E7B" w14:textId="54B68C70" w:rsidR="22E7EED9" w:rsidRDefault="22E7EED9" w:rsidP="40260F4F">
      <w:pPr>
        <w:shd w:val="clear" w:color="auto" w:fill="FFFFFF" w:themeFill="background1"/>
        <w:spacing w:beforeAutospacing="1" w:afterAutospacing="1" w:line="240" w:lineRule="auto"/>
        <w:ind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>Uczeń powinien przygotować, z wykorzystaniem zasobów cyfrowych, wizualno-tekstową prezentację trzech zabytków (po jednym zabytku z każdej z trzech grup wymienionych poniżej), w formie slajdów prezentowanych na lekcji, plakatu (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postera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), gazetki ściennej lub dokumentu złożonego w edytorze tekstu. Uczeń może sam wybrać materiał do zaprezentowania. </w:t>
      </w:r>
    </w:p>
    <w:p w14:paraId="5DECE7DC" w14:textId="0222E1F9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2301DE76" w14:textId="2890F49C" w:rsidR="22E7EED9" w:rsidRDefault="22E7EED9" w:rsidP="40260F4F">
      <w:pPr>
        <w:shd w:val="clear" w:color="auto" w:fill="FFFFFF" w:themeFill="background1"/>
        <w:spacing w:beforeAutospacing="1" w:afterAutospacing="1" w:line="240" w:lineRule="auto"/>
        <w:ind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Grupy zabytków: </w:t>
      </w:r>
    </w:p>
    <w:p w14:paraId="4A9D04F7" w14:textId="3CF347BF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7508AD5F" w14:textId="4589B883" w:rsidR="22E7EED9" w:rsidRDefault="22E7EED9" w:rsidP="40260F4F">
      <w:pPr>
        <w:shd w:val="clear" w:color="auto" w:fill="FFFFFF" w:themeFill="background1"/>
        <w:spacing w:beforeAutospacing="1" w:afterAutospacing="1" w:line="240" w:lineRule="auto"/>
        <w:ind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I. Miasto starożytne: kompleks budowli na Forum Romanum, świątynie na Forum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Boarium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Kapitol i jego muzea, piramida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Cestiusza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Ara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Pacis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Circus Maximus,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Domus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Aurea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Koloseum, termy Karakalli, Dioklecjana, łuki triumfalne: Tytusa,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Septymiusza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Sewera i Konstantyna Wielkiego,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Trajanowski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kompleks budowli: forum, kolumna, bazylika, biblioteki i hale targowe, Panteon, mauzoleum Hadriana, bazylika Maksencjusza, nekropola watykańska, katakumby św. Kaliksta. </w:t>
      </w:r>
    </w:p>
    <w:p w14:paraId="0E860B76" w14:textId="2BE36556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73F1AFD0" w14:textId="5CD92BE8" w:rsidR="22E7EED9" w:rsidRDefault="22E7EED9" w:rsidP="40260F4F">
      <w:pPr>
        <w:shd w:val="clear" w:color="auto" w:fill="FFFFFF" w:themeFill="background1"/>
        <w:spacing w:beforeAutospacing="1" w:afterAutospacing="1" w:line="240" w:lineRule="auto"/>
        <w:ind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II. Miasto nowożytne: kościoły (San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Clemente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Santa Maria in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Trastevere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Santa Maria Maggiore, Santa Sabina, Santa Maria del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Popolo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San Carlo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Quattro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Fontane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Il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Gesù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Piazza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Campidoglio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Piazza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Navona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, fontanna di Trevi,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Palazzo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Farnese, </w:t>
      </w:r>
      <w:proofErr w:type="spellStart"/>
      <w:r w:rsidRPr="40260F4F">
        <w:rPr>
          <w:rFonts w:ascii="Times New Roman" w:eastAsia="Times New Roman" w:hAnsi="Times New Roman" w:cs="Times New Roman"/>
          <w:sz w:val="24"/>
          <w:szCs w:val="24"/>
        </w:rPr>
        <w:t>Stanze</w:t>
      </w:r>
      <w:proofErr w:type="spellEnd"/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 Rafaela, Kaplica Sykstyńska, Bazylika i Plac św. Piotra.</w:t>
      </w:r>
    </w:p>
    <w:p w14:paraId="15A29E88" w14:textId="342B61F1" w:rsidR="40260F4F" w:rsidRDefault="40260F4F" w:rsidP="40260F4F">
      <w:p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</w:rPr>
      </w:pPr>
    </w:p>
    <w:p w14:paraId="788EB450" w14:textId="34673844" w:rsidR="53E6F4E8" w:rsidRDefault="53E6F4E8" w:rsidP="40260F4F">
      <w:pPr>
        <w:shd w:val="clear" w:color="auto" w:fill="FFFFFF" w:themeFill="background1"/>
        <w:spacing w:beforeAutospacing="1" w:afterAutospacing="1" w:line="240" w:lineRule="auto"/>
        <w:ind w:right="-225"/>
      </w:pPr>
      <w:r w:rsidRPr="40260F4F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Arcydzieła: Apollo Belwederski, Grupa Laokoona,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torso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 belwederskie, Wilczyca Kapitolińska, Umierający Gal, tzw.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togatus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 Barberini, August z Prima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Porta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, malowidła z willi Liwii w Prima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Porta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, posąg konny Marka Aureliusza, mozaika w absydzie bazyliki św.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Pudencjany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, Św. Piotr tronujący Arnolfa di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, Tempietto Bramantego przy kościele św. Piotra in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Montorio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, Mojżesz Michała Anioła, Apollo i Dafne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 Lorenza Berniniego, obrazy Caravaggia w kaplicy św. Mateusza w kościele św. Ludwika Króla Francji, Herkules i </w:t>
      </w:r>
      <w:proofErr w:type="spellStart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>Lichas</w:t>
      </w:r>
      <w:proofErr w:type="spellEnd"/>
      <w:r w:rsidR="22E7EED9" w:rsidRPr="40260F4F">
        <w:rPr>
          <w:rFonts w:ascii="Times New Roman" w:eastAsia="Times New Roman" w:hAnsi="Times New Roman" w:cs="Times New Roman"/>
          <w:sz w:val="24"/>
          <w:szCs w:val="24"/>
        </w:rPr>
        <w:t xml:space="preserve"> Antonia Canovy.</w:t>
      </w:r>
    </w:p>
    <w:sectPr w:rsidR="53E6F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D96"/>
    <w:multiLevelType w:val="hybridMultilevel"/>
    <w:tmpl w:val="C0FAD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EB71A"/>
    <w:multiLevelType w:val="hybridMultilevel"/>
    <w:tmpl w:val="310AAB30"/>
    <w:lvl w:ilvl="0" w:tplc="F68609D2">
      <w:start w:val="1"/>
      <w:numFmt w:val="decimal"/>
      <w:lvlText w:val="%1)"/>
      <w:lvlJc w:val="left"/>
      <w:pPr>
        <w:ind w:left="1080" w:hanging="360"/>
      </w:pPr>
    </w:lvl>
    <w:lvl w:ilvl="1" w:tplc="1AC08232">
      <w:start w:val="1"/>
      <w:numFmt w:val="lowerLetter"/>
      <w:lvlText w:val="%2."/>
      <w:lvlJc w:val="left"/>
      <w:pPr>
        <w:ind w:left="1800" w:hanging="360"/>
      </w:pPr>
    </w:lvl>
    <w:lvl w:ilvl="2" w:tplc="1B96B752">
      <w:start w:val="1"/>
      <w:numFmt w:val="lowerRoman"/>
      <w:lvlText w:val="%3."/>
      <w:lvlJc w:val="right"/>
      <w:pPr>
        <w:ind w:left="2520" w:hanging="180"/>
      </w:pPr>
    </w:lvl>
    <w:lvl w:ilvl="3" w:tplc="766EC48C">
      <w:start w:val="1"/>
      <w:numFmt w:val="decimal"/>
      <w:lvlText w:val="%4."/>
      <w:lvlJc w:val="left"/>
      <w:pPr>
        <w:ind w:left="3240" w:hanging="360"/>
      </w:pPr>
    </w:lvl>
    <w:lvl w:ilvl="4" w:tplc="9FE47E1E">
      <w:start w:val="1"/>
      <w:numFmt w:val="lowerLetter"/>
      <w:lvlText w:val="%5."/>
      <w:lvlJc w:val="left"/>
      <w:pPr>
        <w:ind w:left="3960" w:hanging="360"/>
      </w:pPr>
    </w:lvl>
    <w:lvl w:ilvl="5" w:tplc="ACF6008C">
      <w:start w:val="1"/>
      <w:numFmt w:val="lowerRoman"/>
      <w:lvlText w:val="%6."/>
      <w:lvlJc w:val="right"/>
      <w:pPr>
        <w:ind w:left="4680" w:hanging="180"/>
      </w:pPr>
    </w:lvl>
    <w:lvl w:ilvl="6" w:tplc="4A341214">
      <w:start w:val="1"/>
      <w:numFmt w:val="decimal"/>
      <w:lvlText w:val="%7."/>
      <w:lvlJc w:val="left"/>
      <w:pPr>
        <w:ind w:left="5400" w:hanging="360"/>
      </w:pPr>
    </w:lvl>
    <w:lvl w:ilvl="7" w:tplc="EE5E2EA4">
      <w:start w:val="1"/>
      <w:numFmt w:val="lowerLetter"/>
      <w:lvlText w:val="%8."/>
      <w:lvlJc w:val="left"/>
      <w:pPr>
        <w:ind w:left="6120" w:hanging="360"/>
      </w:pPr>
    </w:lvl>
    <w:lvl w:ilvl="8" w:tplc="D30AC87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217C6"/>
    <w:multiLevelType w:val="hybridMultilevel"/>
    <w:tmpl w:val="926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82E3"/>
    <w:multiLevelType w:val="hybridMultilevel"/>
    <w:tmpl w:val="5ED487A0"/>
    <w:lvl w:ilvl="0" w:tplc="9C1C62D0">
      <w:start w:val="1"/>
      <w:numFmt w:val="decimal"/>
      <w:lvlText w:val="%1)"/>
      <w:lvlJc w:val="left"/>
      <w:pPr>
        <w:ind w:left="1068" w:hanging="360"/>
      </w:pPr>
    </w:lvl>
    <w:lvl w:ilvl="1" w:tplc="5DB699B4">
      <w:start w:val="1"/>
      <w:numFmt w:val="lowerLetter"/>
      <w:lvlText w:val="%2."/>
      <w:lvlJc w:val="left"/>
      <w:pPr>
        <w:ind w:left="1788" w:hanging="360"/>
      </w:pPr>
    </w:lvl>
    <w:lvl w:ilvl="2" w:tplc="FBCEA9FA">
      <w:start w:val="1"/>
      <w:numFmt w:val="lowerRoman"/>
      <w:lvlText w:val="%3."/>
      <w:lvlJc w:val="right"/>
      <w:pPr>
        <w:ind w:left="2508" w:hanging="180"/>
      </w:pPr>
    </w:lvl>
    <w:lvl w:ilvl="3" w:tplc="73643868">
      <w:start w:val="1"/>
      <w:numFmt w:val="decimal"/>
      <w:lvlText w:val="%4."/>
      <w:lvlJc w:val="left"/>
      <w:pPr>
        <w:ind w:left="3228" w:hanging="360"/>
      </w:pPr>
    </w:lvl>
    <w:lvl w:ilvl="4" w:tplc="7E4A82AA">
      <w:start w:val="1"/>
      <w:numFmt w:val="lowerLetter"/>
      <w:lvlText w:val="%5."/>
      <w:lvlJc w:val="left"/>
      <w:pPr>
        <w:ind w:left="3948" w:hanging="360"/>
      </w:pPr>
    </w:lvl>
    <w:lvl w:ilvl="5" w:tplc="40C2A98E">
      <w:start w:val="1"/>
      <w:numFmt w:val="lowerRoman"/>
      <w:lvlText w:val="%6."/>
      <w:lvlJc w:val="right"/>
      <w:pPr>
        <w:ind w:left="4668" w:hanging="180"/>
      </w:pPr>
    </w:lvl>
    <w:lvl w:ilvl="6" w:tplc="5F5A8310">
      <w:start w:val="1"/>
      <w:numFmt w:val="decimal"/>
      <w:lvlText w:val="%7."/>
      <w:lvlJc w:val="left"/>
      <w:pPr>
        <w:ind w:left="5388" w:hanging="360"/>
      </w:pPr>
    </w:lvl>
    <w:lvl w:ilvl="7" w:tplc="794AA68E">
      <w:start w:val="1"/>
      <w:numFmt w:val="lowerLetter"/>
      <w:lvlText w:val="%8."/>
      <w:lvlJc w:val="left"/>
      <w:pPr>
        <w:ind w:left="6108" w:hanging="360"/>
      </w:pPr>
    </w:lvl>
    <w:lvl w:ilvl="8" w:tplc="1EE69D7E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A26691"/>
    <w:multiLevelType w:val="hybridMultilevel"/>
    <w:tmpl w:val="02108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4FA1"/>
    <w:multiLevelType w:val="hybridMultilevel"/>
    <w:tmpl w:val="A608112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A5702"/>
    <w:multiLevelType w:val="hybridMultilevel"/>
    <w:tmpl w:val="AA38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F58D"/>
    <w:multiLevelType w:val="hybridMultilevel"/>
    <w:tmpl w:val="729C306A"/>
    <w:lvl w:ilvl="0" w:tplc="E2FC66E8">
      <w:start w:val="1"/>
      <w:numFmt w:val="decimal"/>
      <w:lvlText w:val="%1."/>
      <w:lvlJc w:val="left"/>
      <w:pPr>
        <w:ind w:left="1080" w:hanging="360"/>
      </w:pPr>
    </w:lvl>
    <w:lvl w:ilvl="1" w:tplc="629A32C6">
      <w:start w:val="1"/>
      <w:numFmt w:val="lowerLetter"/>
      <w:lvlText w:val="%2."/>
      <w:lvlJc w:val="left"/>
      <w:pPr>
        <w:ind w:left="1800" w:hanging="360"/>
      </w:pPr>
    </w:lvl>
    <w:lvl w:ilvl="2" w:tplc="361081D4">
      <w:start w:val="1"/>
      <w:numFmt w:val="lowerRoman"/>
      <w:lvlText w:val="%3."/>
      <w:lvlJc w:val="right"/>
      <w:pPr>
        <w:ind w:left="2520" w:hanging="180"/>
      </w:pPr>
    </w:lvl>
    <w:lvl w:ilvl="3" w:tplc="42C6F32A">
      <w:start w:val="1"/>
      <w:numFmt w:val="decimal"/>
      <w:lvlText w:val="%4."/>
      <w:lvlJc w:val="left"/>
      <w:pPr>
        <w:ind w:left="3240" w:hanging="360"/>
      </w:pPr>
    </w:lvl>
    <w:lvl w:ilvl="4" w:tplc="52C81B6C">
      <w:start w:val="1"/>
      <w:numFmt w:val="lowerLetter"/>
      <w:lvlText w:val="%5."/>
      <w:lvlJc w:val="left"/>
      <w:pPr>
        <w:ind w:left="3960" w:hanging="360"/>
      </w:pPr>
    </w:lvl>
    <w:lvl w:ilvl="5" w:tplc="52E4729A">
      <w:start w:val="1"/>
      <w:numFmt w:val="lowerRoman"/>
      <w:lvlText w:val="%6."/>
      <w:lvlJc w:val="right"/>
      <w:pPr>
        <w:ind w:left="4680" w:hanging="180"/>
      </w:pPr>
    </w:lvl>
    <w:lvl w:ilvl="6" w:tplc="DB0034C2">
      <w:start w:val="1"/>
      <w:numFmt w:val="decimal"/>
      <w:lvlText w:val="%7."/>
      <w:lvlJc w:val="left"/>
      <w:pPr>
        <w:ind w:left="5400" w:hanging="360"/>
      </w:pPr>
    </w:lvl>
    <w:lvl w:ilvl="7" w:tplc="72A6C284">
      <w:start w:val="1"/>
      <w:numFmt w:val="lowerLetter"/>
      <w:lvlText w:val="%8."/>
      <w:lvlJc w:val="left"/>
      <w:pPr>
        <w:ind w:left="6120" w:hanging="360"/>
      </w:pPr>
    </w:lvl>
    <w:lvl w:ilvl="8" w:tplc="BEE8751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B2A7A"/>
    <w:multiLevelType w:val="hybridMultilevel"/>
    <w:tmpl w:val="7074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70"/>
    <w:rsid w:val="0008070A"/>
    <w:rsid w:val="001967A1"/>
    <w:rsid w:val="00481288"/>
    <w:rsid w:val="0048342F"/>
    <w:rsid w:val="005237BC"/>
    <w:rsid w:val="0054373E"/>
    <w:rsid w:val="00562F7A"/>
    <w:rsid w:val="007A7E24"/>
    <w:rsid w:val="007D3AAB"/>
    <w:rsid w:val="008C1DE1"/>
    <w:rsid w:val="0099578B"/>
    <w:rsid w:val="00AB0DDF"/>
    <w:rsid w:val="00C75B70"/>
    <w:rsid w:val="00DB0DA2"/>
    <w:rsid w:val="00E20142"/>
    <w:rsid w:val="00EB3FF0"/>
    <w:rsid w:val="012F6EBF"/>
    <w:rsid w:val="01323434"/>
    <w:rsid w:val="019A95A9"/>
    <w:rsid w:val="029AB249"/>
    <w:rsid w:val="02A4A4B9"/>
    <w:rsid w:val="03100BDF"/>
    <w:rsid w:val="03566818"/>
    <w:rsid w:val="069FDEEF"/>
    <w:rsid w:val="06B29C27"/>
    <w:rsid w:val="06D19F3E"/>
    <w:rsid w:val="06EADA36"/>
    <w:rsid w:val="07416811"/>
    <w:rsid w:val="07FFAEFE"/>
    <w:rsid w:val="083A6FFA"/>
    <w:rsid w:val="087972BE"/>
    <w:rsid w:val="08EF345B"/>
    <w:rsid w:val="0A4B4E9D"/>
    <w:rsid w:val="0BC82AEF"/>
    <w:rsid w:val="0C85E6DD"/>
    <w:rsid w:val="0D6AB82C"/>
    <w:rsid w:val="0E9B58FC"/>
    <w:rsid w:val="0EA6C98F"/>
    <w:rsid w:val="0EBD07AC"/>
    <w:rsid w:val="0EBE9748"/>
    <w:rsid w:val="0F49C920"/>
    <w:rsid w:val="0F5AFD21"/>
    <w:rsid w:val="116B99B2"/>
    <w:rsid w:val="12D5504B"/>
    <w:rsid w:val="12D5CCF9"/>
    <w:rsid w:val="135836DB"/>
    <w:rsid w:val="13D8315F"/>
    <w:rsid w:val="13F209CE"/>
    <w:rsid w:val="140C0EAA"/>
    <w:rsid w:val="14576CF1"/>
    <w:rsid w:val="15A548F0"/>
    <w:rsid w:val="15A829C7"/>
    <w:rsid w:val="15C97711"/>
    <w:rsid w:val="1654AD1C"/>
    <w:rsid w:val="16844321"/>
    <w:rsid w:val="170432D4"/>
    <w:rsid w:val="1730E8C2"/>
    <w:rsid w:val="179042C1"/>
    <w:rsid w:val="1797690A"/>
    <w:rsid w:val="18114884"/>
    <w:rsid w:val="19AFDEC5"/>
    <w:rsid w:val="1A49E7F8"/>
    <w:rsid w:val="1A568193"/>
    <w:rsid w:val="1A62358F"/>
    <w:rsid w:val="1B3FC849"/>
    <w:rsid w:val="1B53F660"/>
    <w:rsid w:val="1BDEAB55"/>
    <w:rsid w:val="1C95EB39"/>
    <w:rsid w:val="1CC6D863"/>
    <w:rsid w:val="1D58D051"/>
    <w:rsid w:val="1D618D05"/>
    <w:rsid w:val="1D6CD71B"/>
    <w:rsid w:val="1D8774D3"/>
    <w:rsid w:val="1E5627A4"/>
    <w:rsid w:val="1E753786"/>
    <w:rsid w:val="1E99D956"/>
    <w:rsid w:val="1F113C48"/>
    <w:rsid w:val="1F1C1648"/>
    <w:rsid w:val="1F4B65EF"/>
    <w:rsid w:val="208DEDA0"/>
    <w:rsid w:val="21B69880"/>
    <w:rsid w:val="22AC4D5E"/>
    <w:rsid w:val="22E7EED9"/>
    <w:rsid w:val="2359493F"/>
    <w:rsid w:val="23B6CBE7"/>
    <w:rsid w:val="2437F2B8"/>
    <w:rsid w:val="250A4517"/>
    <w:rsid w:val="252560A1"/>
    <w:rsid w:val="25295FF5"/>
    <w:rsid w:val="2585DD90"/>
    <w:rsid w:val="2608E898"/>
    <w:rsid w:val="26FCFF58"/>
    <w:rsid w:val="2744E761"/>
    <w:rsid w:val="2748B6FE"/>
    <w:rsid w:val="2776B0ED"/>
    <w:rsid w:val="2789E2E3"/>
    <w:rsid w:val="27EAA000"/>
    <w:rsid w:val="27FCAEC0"/>
    <w:rsid w:val="28849304"/>
    <w:rsid w:val="2889292C"/>
    <w:rsid w:val="290B03E1"/>
    <w:rsid w:val="2A316D14"/>
    <w:rsid w:val="2AFF4EB4"/>
    <w:rsid w:val="2B0AEB40"/>
    <w:rsid w:val="2C7BEF6C"/>
    <w:rsid w:val="2D0DE454"/>
    <w:rsid w:val="2D1AE855"/>
    <w:rsid w:val="2E960DFB"/>
    <w:rsid w:val="2FBFC5CC"/>
    <w:rsid w:val="30389B05"/>
    <w:rsid w:val="30E63DAC"/>
    <w:rsid w:val="30F1A486"/>
    <w:rsid w:val="3124927F"/>
    <w:rsid w:val="31B2BB6B"/>
    <w:rsid w:val="31C7B805"/>
    <w:rsid w:val="31F4F043"/>
    <w:rsid w:val="331740FD"/>
    <w:rsid w:val="338E37FF"/>
    <w:rsid w:val="33D95D52"/>
    <w:rsid w:val="35A4AF9D"/>
    <w:rsid w:val="36BD22A2"/>
    <w:rsid w:val="372FCDFA"/>
    <w:rsid w:val="386F4D6D"/>
    <w:rsid w:val="388A17DA"/>
    <w:rsid w:val="38C289E3"/>
    <w:rsid w:val="39453D7B"/>
    <w:rsid w:val="398D4AB3"/>
    <w:rsid w:val="39F39982"/>
    <w:rsid w:val="3B61A889"/>
    <w:rsid w:val="3DB9923E"/>
    <w:rsid w:val="3E599FA8"/>
    <w:rsid w:val="3E695D35"/>
    <w:rsid w:val="3EC4EA9F"/>
    <w:rsid w:val="3F40DB02"/>
    <w:rsid w:val="3FB7546C"/>
    <w:rsid w:val="3FD8A648"/>
    <w:rsid w:val="40260F4F"/>
    <w:rsid w:val="403908F7"/>
    <w:rsid w:val="40411BA9"/>
    <w:rsid w:val="409F1A36"/>
    <w:rsid w:val="41AB61C2"/>
    <w:rsid w:val="43F23CC7"/>
    <w:rsid w:val="44ED83EE"/>
    <w:rsid w:val="45260381"/>
    <w:rsid w:val="453AED54"/>
    <w:rsid w:val="46A04838"/>
    <w:rsid w:val="472F9719"/>
    <w:rsid w:val="47A00CD6"/>
    <w:rsid w:val="49630A4F"/>
    <w:rsid w:val="499E4B0D"/>
    <w:rsid w:val="49B96D3C"/>
    <w:rsid w:val="49C07180"/>
    <w:rsid w:val="4ABBEE08"/>
    <w:rsid w:val="4BE04DE6"/>
    <w:rsid w:val="4D4B9642"/>
    <w:rsid w:val="4E0EDFB1"/>
    <w:rsid w:val="4E0F5ACE"/>
    <w:rsid w:val="4EDDEF3F"/>
    <w:rsid w:val="4EEA03E5"/>
    <w:rsid w:val="4FA48B17"/>
    <w:rsid w:val="4FC75626"/>
    <w:rsid w:val="4FCE6472"/>
    <w:rsid w:val="4FD6395C"/>
    <w:rsid w:val="4FFB36E6"/>
    <w:rsid w:val="50B7F1F8"/>
    <w:rsid w:val="5155CBCE"/>
    <w:rsid w:val="518B4B45"/>
    <w:rsid w:val="519D04C6"/>
    <w:rsid w:val="51E14551"/>
    <w:rsid w:val="51E61AFE"/>
    <w:rsid w:val="51EA26C0"/>
    <w:rsid w:val="52F37D28"/>
    <w:rsid w:val="53E6F4E8"/>
    <w:rsid w:val="5626F4FD"/>
    <w:rsid w:val="5654C763"/>
    <w:rsid w:val="5722FBDA"/>
    <w:rsid w:val="5789E9C8"/>
    <w:rsid w:val="5883E90A"/>
    <w:rsid w:val="588E76EC"/>
    <w:rsid w:val="594E0701"/>
    <w:rsid w:val="5AD96944"/>
    <w:rsid w:val="5AEEBEB1"/>
    <w:rsid w:val="5CD16210"/>
    <w:rsid w:val="5CD51BAB"/>
    <w:rsid w:val="5D052F27"/>
    <w:rsid w:val="5D2695D2"/>
    <w:rsid w:val="5E0A8D97"/>
    <w:rsid w:val="5E666C51"/>
    <w:rsid w:val="5F5D1EBF"/>
    <w:rsid w:val="5FDA27F4"/>
    <w:rsid w:val="60823A9F"/>
    <w:rsid w:val="60CCD4C1"/>
    <w:rsid w:val="633D7172"/>
    <w:rsid w:val="634C8C55"/>
    <w:rsid w:val="63A30E5C"/>
    <w:rsid w:val="63AAB052"/>
    <w:rsid w:val="64A0734D"/>
    <w:rsid w:val="6637EC24"/>
    <w:rsid w:val="670C7AB0"/>
    <w:rsid w:val="685DE963"/>
    <w:rsid w:val="68FE1A74"/>
    <w:rsid w:val="6992317A"/>
    <w:rsid w:val="6A41DBC7"/>
    <w:rsid w:val="6AE7DFA4"/>
    <w:rsid w:val="6B0BEB71"/>
    <w:rsid w:val="6B21DE39"/>
    <w:rsid w:val="6B47E233"/>
    <w:rsid w:val="6B7AE006"/>
    <w:rsid w:val="6C12F4DB"/>
    <w:rsid w:val="6C6C615F"/>
    <w:rsid w:val="6D3D9A07"/>
    <w:rsid w:val="6D7E75AD"/>
    <w:rsid w:val="6F5EDAB5"/>
    <w:rsid w:val="6F64B031"/>
    <w:rsid w:val="7225173D"/>
    <w:rsid w:val="7483D6AD"/>
    <w:rsid w:val="757F2DE3"/>
    <w:rsid w:val="75B5C8C9"/>
    <w:rsid w:val="75C43103"/>
    <w:rsid w:val="76285E60"/>
    <w:rsid w:val="76486628"/>
    <w:rsid w:val="766E9514"/>
    <w:rsid w:val="76C7CBD2"/>
    <w:rsid w:val="790F631C"/>
    <w:rsid w:val="7A725183"/>
    <w:rsid w:val="7AAA8FFF"/>
    <w:rsid w:val="7B479D99"/>
    <w:rsid w:val="7C7E9F37"/>
    <w:rsid w:val="7CFBA635"/>
    <w:rsid w:val="7E0DB99F"/>
    <w:rsid w:val="7E176472"/>
    <w:rsid w:val="7EAA5AD1"/>
    <w:rsid w:val="7F2F9BBA"/>
    <w:rsid w:val="7F7F5772"/>
    <w:rsid w:val="7FD8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7B73"/>
  <w15:chartTrackingRefBased/>
  <w15:docId w15:val="{4096D56E-1017-42A3-982B-42BBCE0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B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0D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B0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A0730-59E9-4119-AD08-3CB8E2F57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3E372-4749-4D5F-90E7-AE9D09D91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B072-2015-4006-8DDA-81DAD0E91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</dc:creator>
  <cp:keywords/>
  <dc:description/>
  <cp:lastModifiedBy>user</cp:lastModifiedBy>
  <cp:revision>9</cp:revision>
  <dcterms:created xsi:type="dcterms:W3CDTF">2021-09-13T16:52:00Z</dcterms:created>
  <dcterms:modified xsi:type="dcterms:W3CDTF">2024-08-31T18:05:00Z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